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0C1" w:rsidRPr="00D10E3C" w:rsidRDefault="005070C1" w:rsidP="00D10E3C">
      <w:pPr>
        <w:jc w:val="center"/>
        <w:rPr>
          <w:rFonts w:cs="Times New Roman"/>
          <w:sz w:val="18"/>
          <w:szCs w:val="18"/>
        </w:rPr>
      </w:pPr>
      <w:r w:rsidRPr="005070C1">
        <w:rPr>
          <w:b/>
          <w:sz w:val="28"/>
        </w:rPr>
        <w:t>Program Review Year End Report to the Academic Senate</w:t>
      </w:r>
      <w:r w:rsidR="00D10E3C">
        <w:rPr>
          <w:b/>
          <w:sz w:val="28"/>
        </w:rPr>
        <w:t xml:space="preserve">  </w:t>
      </w:r>
      <w:r w:rsidR="00D10E3C" w:rsidRPr="00580E15">
        <w:rPr>
          <w:rFonts w:cs="Times New Roman"/>
          <w:sz w:val="18"/>
          <w:szCs w:val="18"/>
        </w:rPr>
        <w:t>(Revised:  5/</w:t>
      </w:r>
      <w:r w:rsidR="005401BD">
        <w:rPr>
          <w:rFonts w:cs="Times New Roman"/>
          <w:sz w:val="18"/>
          <w:szCs w:val="18"/>
        </w:rPr>
        <w:t>21</w:t>
      </w:r>
      <w:r w:rsidR="00D10E3C" w:rsidRPr="00580E15">
        <w:rPr>
          <w:rFonts w:cs="Times New Roman"/>
          <w:sz w:val="18"/>
          <w:szCs w:val="18"/>
        </w:rPr>
        <w:t>/2020)</w:t>
      </w:r>
    </w:p>
    <w:p w:rsidR="005070C1" w:rsidRPr="00786F98" w:rsidRDefault="005070C1" w:rsidP="005070C1">
      <w:pPr>
        <w:jc w:val="center"/>
        <w:rPr>
          <w:b/>
        </w:rPr>
      </w:pPr>
    </w:p>
    <w:p w:rsidR="002460AE" w:rsidRPr="002460AE" w:rsidRDefault="002460AE" w:rsidP="002460AE">
      <w:pPr>
        <w:rPr>
          <w:b/>
          <w:u w:val="single"/>
        </w:rPr>
      </w:pPr>
      <w:r w:rsidRPr="002460AE">
        <w:rPr>
          <w:b/>
          <w:u w:val="single"/>
        </w:rPr>
        <w:t>Program Review Committee Charge</w:t>
      </w:r>
    </w:p>
    <w:p w:rsidR="002460AE" w:rsidRDefault="002460AE" w:rsidP="002460AE"/>
    <w:p w:rsidR="002460AE" w:rsidRDefault="002460AE" w:rsidP="002460AE">
      <w:r>
        <w:t>For regular programmatic assessment on campus, the Program Review Committee examines and evaluates the resource needs and effectiveness of all instructional and service areas. These review processes occur on one-, two-, and four-year cycles as determined by the District, College, and other regulatory agencies. Program Review is conducted by authorization of the SBVC Academic Senate.</w:t>
      </w:r>
    </w:p>
    <w:p w:rsidR="002460AE" w:rsidRDefault="002460AE" w:rsidP="002460AE"/>
    <w:p w:rsidR="002460AE" w:rsidRDefault="002460AE" w:rsidP="002460AE">
      <w:r>
        <w:t>The purpose of Program Review is to:</w:t>
      </w:r>
    </w:p>
    <w:p w:rsidR="002460AE" w:rsidRDefault="002460AE" w:rsidP="002460AE">
      <w:pPr>
        <w:pStyle w:val="ListParagraph"/>
        <w:numPr>
          <w:ilvl w:val="0"/>
          <w:numId w:val="1"/>
        </w:numPr>
      </w:pPr>
      <w:r>
        <w:t>Provide a full examination of how effectively programs and services are meeting departmental, divisional, and institutional goals</w:t>
      </w:r>
    </w:p>
    <w:p w:rsidR="002460AE" w:rsidRDefault="002460AE" w:rsidP="002460AE">
      <w:pPr>
        <w:pStyle w:val="ListParagraph"/>
        <w:numPr>
          <w:ilvl w:val="0"/>
          <w:numId w:val="1"/>
        </w:numPr>
      </w:pPr>
      <w:r>
        <w:t>Aid in short-range planning and decision-making</w:t>
      </w:r>
    </w:p>
    <w:p w:rsidR="002460AE" w:rsidRDefault="002460AE" w:rsidP="002460AE">
      <w:pPr>
        <w:pStyle w:val="ListParagraph"/>
        <w:numPr>
          <w:ilvl w:val="0"/>
          <w:numId w:val="1"/>
        </w:numPr>
      </w:pPr>
      <w:r>
        <w:t>Improve performance, services, and programs</w:t>
      </w:r>
    </w:p>
    <w:p w:rsidR="002460AE" w:rsidRDefault="002460AE" w:rsidP="002460AE">
      <w:pPr>
        <w:pStyle w:val="ListParagraph"/>
        <w:numPr>
          <w:ilvl w:val="0"/>
          <w:numId w:val="1"/>
        </w:numPr>
      </w:pPr>
      <w:r>
        <w:t>Contribute to long-range planning</w:t>
      </w:r>
    </w:p>
    <w:p w:rsidR="002460AE" w:rsidRDefault="002460AE" w:rsidP="002460AE">
      <w:pPr>
        <w:pStyle w:val="ListParagraph"/>
        <w:numPr>
          <w:ilvl w:val="0"/>
          <w:numId w:val="1"/>
        </w:numPr>
      </w:pPr>
      <w:r>
        <w:t>Contribute information and recommendations to other college processes, as appropriate</w:t>
      </w:r>
    </w:p>
    <w:p w:rsidR="002460AE" w:rsidRDefault="002460AE" w:rsidP="002460AE">
      <w:pPr>
        <w:pStyle w:val="ListParagraph"/>
        <w:numPr>
          <w:ilvl w:val="0"/>
          <w:numId w:val="1"/>
        </w:numPr>
      </w:pPr>
      <w:r>
        <w:t>Serve as the campus conduit for decision-making by forwarding information to appropriate committees</w:t>
      </w:r>
    </w:p>
    <w:p w:rsidR="002460AE" w:rsidRDefault="002460AE"/>
    <w:p w:rsidR="002460AE" w:rsidRPr="002460AE" w:rsidRDefault="002460AE">
      <w:pPr>
        <w:rPr>
          <w:b/>
          <w:u w:val="single"/>
        </w:rPr>
      </w:pPr>
      <w:r w:rsidRPr="002460AE">
        <w:rPr>
          <w:b/>
          <w:u w:val="single"/>
        </w:rPr>
        <w:t>Program Review Accomplishments for 2019-2020 Academic Year</w:t>
      </w:r>
    </w:p>
    <w:p w:rsidR="002460AE" w:rsidRDefault="002460AE"/>
    <w:p w:rsidR="00BD240C" w:rsidRDefault="00BD240C" w:rsidP="002460AE">
      <w:pPr>
        <w:pStyle w:val="ListParagraph"/>
        <w:numPr>
          <w:ilvl w:val="0"/>
          <w:numId w:val="2"/>
        </w:numPr>
      </w:pPr>
      <w:r>
        <w:t>Reorganization of committee website, including creating “one-stop-shop</w:t>
      </w:r>
      <w:r w:rsidR="00786F98">
        <w:t>” pages for Needs Assess</w:t>
      </w:r>
      <w:r>
        <w:t>ment and Efficacy that gathers links to most information document writers will need to complete those reports.</w:t>
      </w:r>
    </w:p>
    <w:p w:rsidR="00BD240C" w:rsidRDefault="00BD240C" w:rsidP="002460AE">
      <w:pPr>
        <w:pStyle w:val="ListParagraph"/>
        <w:numPr>
          <w:ilvl w:val="0"/>
          <w:numId w:val="2"/>
        </w:numPr>
      </w:pPr>
      <w:r>
        <w:t>Updated and improved Needs Assessment instructions and forms.</w:t>
      </w:r>
    </w:p>
    <w:p w:rsidR="002460AE" w:rsidRDefault="002460AE" w:rsidP="002460AE">
      <w:pPr>
        <w:pStyle w:val="ListParagraph"/>
        <w:numPr>
          <w:ilvl w:val="0"/>
          <w:numId w:val="2"/>
        </w:numPr>
      </w:pPr>
      <w:r>
        <w:t>Conducted two workshops to help needs assessment report writers better understand the process and produce documents that clearly support their requests.</w:t>
      </w:r>
    </w:p>
    <w:p w:rsidR="005070C1" w:rsidRDefault="00BD240C" w:rsidP="002460AE">
      <w:pPr>
        <w:pStyle w:val="ListParagraph"/>
        <w:numPr>
          <w:ilvl w:val="0"/>
          <w:numId w:val="2"/>
        </w:numPr>
      </w:pPr>
      <w:r>
        <w:t>Updated and improved Efficacy forms, including adding new SLO disaggregation section and rubric.</w:t>
      </w:r>
    </w:p>
    <w:p w:rsidR="00BD240C" w:rsidRDefault="005070C1" w:rsidP="002460AE">
      <w:pPr>
        <w:pStyle w:val="ListParagraph"/>
        <w:numPr>
          <w:ilvl w:val="0"/>
          <w:numId w:val="2"/>
        </w:numPr>
      </w:pPr>
      <w:r>
        <w:t>Conducted two workshops to help program efficacy report writers better understand the process and meet rubric standards.</w:t>
      </w:r>
    </w:p>
    <w:p w:rsidR="00BD240C" w:rsidRDefault="00BD240C" w:rsidP="002460AE">
      <w:pPr>
        <w:pStyle w:val="ListParagraph"/>
        <w:numPr>
          <w:ilvl w:val="0"/>
          <w:numId w:val="2"/>
        </w:numPr>
      </w:pPr>
      <w:r>
        <w:t xml:space="preserve">Co-chairs </w:t>
      </w:r>
      <w:r w:rsidR="002460AE">
        <w:t>and many committee mem</w:t>
      </w:r>
      <w:r>
        <w:t>bers participated in Disaggregation workshops to understand the new requirement and help efficacy report writers from program</w:t>
      </w:r>
      <w:r w:rsidR="002460AE">
        <w:t>s</w:t>
      </w:r>
      <w:r>
        <w:t xml:space="preserve"> successfully address that requirement.</w:t>
      </w:r>
    </w:p>
    <w:p w:rsidR="00767B6E" w:rsidRDefault="00BD240C" w:rsidP="002460AE">
      <w:pPr>
        <w:pStyle w:val="ListParagraph"/>
        <w:numPr>
          <w:ilvl w:val="0"/>
          <w:numId w:val="2"/>
        </w:numPr>
      </w:pPr>
      <w:r>
        <w:t>Completed Needs Assessment rankings</w:t>
      </w:r>
      <w:r w:rsidR="00A14DA9">
        <w:t xml:space="preserve"> in the fall</w:t>
      </w:r>
      <w:r>
        <w:t xml:space="preserve">, including ranking </w:t>
      </w:r>
      <w:r w:rsidR="00767B6E">
        <w:t>29 requests for faculty, 32 requests for classified staff, 27 equipment requests, and 24 budget requests. Facilities and Technology requests were forwarded to those committees for ranking.</w:t>
      </w:r>
      <w:r w:rsidR="00A14DA9">
        <w:t xml:space="preserve"> The Needs Assessment Rankings were delivered to the senate and faculty at the end of the fall </w:t>
      </w:r>
      <w:r w:rsidR="00786F98">
        <w:t>semester</w:t>
      </w:r>
      <w:r w:rsidR="00A14DA9">
        <w:t>.</w:t>
      </w:r>
    </w:p>
    <w:p w:rsidR="00767B6E" w:rsidRDefault="00A14DA9" w:rsidP="002460AE">
      <w:pPr>
        <w:pStyle w:val="ListParagraph"/>
        <w:numPr>
          <w:ilvl w:val="0"/>
          <w:numId w:val="2"/>
        </w:numPr>
      </w:pPr>
      <w:r>
        <w:t xml:space="preserve">Completed Efficacy Review, including evaluating </w:t>
      </w:r>
      <w:r w:rsidR="00767B6E">
        <w:t>2</w:t>
      </w:r>
      <w:r w:rsidR="005401BD">
        <w:t>3</w:t>
      </w:r>
      <w:r w:rsidR="00767B6E">
        <w:t xml:space="preserve"> </w:t>
      </w:r>
      <w:r w:rsidR="00D10E3C">
        <w:t>four</w:t>
      </w:r>
      <w:r w:rsidR="00767B6E">
        <w:t>-year</w:t>
      </w:r>
      <w:r>
        <w:t xml:space="preserve"> efficacy reports</w:t>
      </w:r>
      <w:r w:rsidR="005401BD">
        <w:t xml:space="preserve"> (3 of which were not up for a full review this cycle)</w:t>
      </w:r>
      <w:r>
        <w:t>,</w:t>
      </w:r>
      <w:r w:rsidR="00D10E3C">
        <w:t xml:space="preserve"> </w:t>
      </w:r>
      <w:r>
        <w:t>1</w:t>
      </w:r>
      <w:r w:rsidR="00767B6E">
        <w:t xml:space="preserve"> </w:t>
      </w:r>
      <w:r w:rsidR="00D10E3C">
        <w:t>two</w:t>
      </w:r>
      <w:r w:rsidR="00767B6E">
        <w:t xml:space="preserve">-year efficacy report and 14 conditional/probation </w:t>
      </w:r>
      <w:r w:rsidR="005070C1">
        <w:t>update reports.</w:t>
      </w:r>
    </w:p>
    <w:p w:rsidR="00D10E3C" w:rsidRDefault="00D10E3C"/>
    <w:p w:rsidR="005070C1" w:rsidRDefault="005070C1">
      <w:r>
        <w:t xml:space="preserve">The Program Review Committee </w:t>
      </w:r>
      <w:r w:rsidR="00D10E3C">
        <w:t xml:space="preserve">has included </w:t>
      </w:r>
      <w:r>
        <w:t xml:space="preserve">a </w:t>
      </w:r>
      <w:r w:rsidR="00D10E3C">
        <w:t>Spring 2020</w:t>
      </w:r>
      <w:r>
        <w:t xml:space="preserve"> Efficacy </w:t>
      </w:r>
      <w:r w:rsidR="00D10E3C">
        <w:t>Cycle Result Summary of the on the next page.</w:t>
      </w:r>
    </w:p>
    <w:p w:rsidR="005070C1" w:rsidRPr="005401BD" w:rsidRDefault="005070C1">
      <w:pPr>
        <w:rPr>
          <w:sz w:val="10"/>
          <w:szCs w:val="10"/>
        </w:rPr>
      </w:pPr>
    </w:p>
    <w:p w:rsidR="005070C1" w:rsidRDefault="005070C1">
      <w:r>
        <w:t>Program Review Co-Chairs</w:t>
      </w:r>
      <w:r w:rsidR="00C47BAD">
        <w:t xml:space="preserve"> (Spring)</w:t>
      </w:r>
      <w:r w:rsidR="00C47BAD">
        <w:tab/>
      </w:r>
      <w:r w:rsidR="00C47BAD">
        <w:tab/>
      </w:r>
      <w:r w:rsidR="00C47BAD">
        <w:tab/>
      </w:r>
      <w:r w:rsidR="00C47BAD">
        <w:tab/>
        <w:t>Program Review Co-Chairs (Fall)</w:t>
      </w:r>
    </w:p>
    <w:p w:rsidR="005070C1" w:rsidRPr="005401BD" w:rsidRDefault="005070C1">
      <w:pPr>
        <w:rPr>
          <w:sz w:val="10"/>
          <w:szCs w:val="10"/>
        </w:rPr>
      </w:pPr>
    </w:p>
    <w:p w:rsidR="00C47BAD" w:rsidRDefault="005070C1">
      <w:r>
        <w:t>Carol Jones</w:t>
      </w:r>
      <w:r w:rsidR="00C47BAD">
        <w:tab/>
      </w:r>
      <w:r w:rsidR="00C47BAD">
        <w:tab/>
      </w:r>
      <w:r w:rsidR="00C47BAD">
        <w:tab/>
      </w:r>
      <w:r w:rsidR="00C47BAD">
        <w:tab/>
      </w:r>
      <w:r w:rsidR="00C47BAD">
        <w:tab/>
      </w:r>
      <w:r w:rsidR="00C47BAD">
        <w:tab/>
      </w:r>
      <w:r w:rsidR="00C47BAD">
        <w:tab/>
        <w:t>Paula Ferri-Milligan</w:t>
      </w:r>
    </w:p>
    <w:p w:rsidR="005070C1" w:rsidRDefault="005070C1">
      <w:r>
        <w:t>Wallace Johnson</w:t>
      </w:r>
      <w:r w:rsidR="00C47BAD">
        <w:tab/>
      </w:r>
      <w:r w:rsidR="00C47BAD">
        <w:tab/>
      </w:r>
      <w:r w:rsidR="00C47BAD">
        <w:tab/>
      </w:r>
      <w:r w:rsidR="00C47BAD">
        <w:tab/>
      </w:r>
      <w:r w:rsidR="00C47BAD">
        <w:tab/>
      </w:r>
      <w:r w:rsidR="00C47BAD">
        <w:tab/>
        <w:t>Wallace Johnson</w:t>
      </w:r>
    </w:p>
    <w:p w:rsidR="00A67635" w:rsidRPr="00A67635" w:rsidRDefault="005070C1">
      <w:r>
        <w:t>Joel Lamore</w:t>
      </w:r>
      <w:bookmarkStart w:id="0" w:name="_GoBack"/>
      <w:bookmarkEnd w:id="0"/>
      <w:r w:rsidR="00A67635">
        <w:rPr>
          <w:rFonts w:ascii="Arial Narrow" w:hAnsi="Arial Narrow"/>
          <w:b/>
          <w:sz w:val="32"/>
          <w:szCs w:val="32"/>
        </w:rPr>
        <w:br w:type="page"/>
      </w:r>
    </w:p>
    <w:p w:rsidR="0073469A" w:rsidRPr="00AC4FCF" w:rsidRDefault="0073469A" w:rsidP="0073469A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  <w:r w:rsidRPr="00AC4FCF">
        <w:rPr>
          <w:rFonts w:ascii="Arial Narrow" w:hAnsi="Arial Narrow"/>
          <w:b/>
          <w:sz w:val="32"/>
          <w:szCs w:val="32"/>
        </w:rPr>
        <w:lastRenderedPageBreak/>
        <w:t>Spring 2020 Efficacy Cycle Result Summary</w:t>
      </w:r>
    </w:p>
    <w:p w:rsidR="0073469A" w:rsidRPr="00AF53DE" w:rsidRDefault="0073469A" w:rsidP="0073469A">
      <w:pPr>
        <w:pStyle w:val="NoSpacing"/>
        <w:rPr>
          <w:rFonts w:ascii="Arial" w:hAnsi="Arial" w:cs="Arial"/>
          <w:b/>
          <w:sz w:val="18"/>
          <w:szCs w:val="18"/>
        </w:rPr>
      </w:pPr>
      <w:r w:rsidRPr="00AF53DE">
        <w:rPr>
          <w:rFonts w:ascii="Arial" w:hAnsi="Arial" w:cs="Arial"/>
          <w:b/>
          <w:sz w:val="18"/>
          <w:szCs w:val="18"/>
        </w:rPr>
        <w:t>Full Efficacy Review</w:t>
      </w:r>
      <w:r>
        <w:rPr>
          <w:rFonts w:ascii="Arial" w:hAnsi="Arial" w:cs="Arial"/>
          <w:b/>
          <w:sz w:val="18"/>
          <w:szCs w:val="18"/>
        </w:rPr>
        <w:t>ed</w:t>
      </w:r>
    </w:p>
    <w:p w:rsidR="0073469A" w:rsidRPr="00AF53DE" w:rsidRDefault="0073469A" w:rsidP="0073469A">
      <w:pPr>
        <w:pStyle w:val="NoSpacing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2880"/>
      </w:tblGrid>
      <w:tr w:rsidR="0073469A" w:rsidRPr="00AF53DE" w:rsidTr="00CB02C2">
        <w:trPr>
          <w:cantSplit/>
        </w:trPr>
        <w:tc>
          <w:tcPr>
            <w:tcW w:w="4495" w:type="dxa"/>
            <w:tcBorders>
              <w:bottom w:val="single" w:sz="4" w:space="0" w:color="auto"/>
            </w:tcBorders>
          </w:tcPr>
          <w:p w:rsidR="0073469A" w:rsidRPr="00AF53DE" w:rsidRDefault="0073469A" w:rsidP="007560A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F53DE">
              <w:rPr>
                <w:rFonts w:ascii="Arial" w:hAnsi="Arial" w:cs="Arial"/>
                <w:b/>
                <w:sz w:val="18"/>
                <w:szCs w:val="18"/>
              </w:rPr>
              <w:t>Department/Program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73469A" w:rsidRPr="00AF53DE" w:rsidRDefault="0073469A" w:rsidP="007560A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F53DE">
              <w:rPr>
                <w:rFonts w:ascii="Arial" w:hAnsi="Arial" w:cs="Arial"/>
                <w:b/>
                <w:sz w:val="18"/>
                <w:szCs w:val="18"/>
              </w:rPr>
              <w:t>Ranking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>Aeronautics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73469A" w:rsidRPr="00AF53DE" w:rsidRDefault="0073469A" w:rsidP="007560A2">
            <w:pPr>
              <w:rPr>
                <w:rFonts w:ascii="Arial" w:hAnsi="Arial" w:cs="Arial"/>
                <w:sz w:val="18"/>
                <w:szCs w:val="18"/>
              </w:rPr>
            </w:pPr>
            <w:r w:rsidRPr="00AF53DE">
              <w:rPr>
                <w:rFonts w:ascii="Arial" w:hAnsi="Arial" w:cs="Arial"/>
                <w:sz w:val="18"/>
                <w:szCs w:val="18"/>
              </w:rPr>
              <w:t>Continuation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shd w:val="clear" w:color="auto" w:fill="auto"/>
            <w:vAlign w:val="center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Athletics </w:t>
            </w:r>
          </w:p>
        </w:tc>
        <w:tc>
          <w:tcPr>
            <w:tcW w:w="2880" w:type="dxa"/>
            <w:shd w:val="clear" w:color="auto" w:fill="auto"/>
          </w:tcPr>
          <w:p w:rsidR="0073469A" w:rsidRPr="00AF53DE" w:rsidRDefault="0073469A" w:rsidP="007560A2">
            <w:pPr>
              <w:rPr>
                <w:rFonts w:ascii="Arial" w:hAnsi="Arial" w:cs="Arial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>Conditional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shd w:val="clear" w:color="auto" w:fill="auto"/>
            <w:vAlign w:val="center"/>
          </w:tcPr>
          <w:p w:rsidR="0073469A" w:rsidRPr="00AF53DE" w:rsidRDefault="0073469A" w:rsidP="007560A2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Campus Technology Services</w:t>
            </w:r>
          </w:p>
        </w:tc>
        <w:tc>
          <w:tcPr>
            <w:tcW w:w="2880" w:type="dxa"/>
            <w:shd w:val="clear" w:color="auto" w:fill="auto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sz w:val="18"/>
                <w:szCs w:val="18"/>
              </w:rPr>
              <w:t>Continuation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shd w:val="clear" w:color="auto" w:fill="auto"/>
            <w:vAlign w:val="center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2880" w:type="dxa"/>
            <w:shd w:val="clear" w:color="auto" w:fill="auto"/>
          </w:tcPr>
          <w:p w:rsidR="0073469A" w:rsidRPr="00AF53DE" w:rsidRDefault="0073469A" w:rsidP="007560A2">
            <w:pPr>
              <w:rPr>
                <w:rFonts w:ascii="Arial" w:hAnsi="Arial" w:cs="Arial"/>
                <w:sz w:val="18"/>
                <w:szCs w:val="18"/>
              </w:rPr>
            </w:pPr>
            <w:r w:rsidRPr="00AF53DE">
              <w:rPr>
                <w:rFonts w:ascii="Arial" w:hAnsi="Arial" w:cs="Arial"/>
                <w:sz w:val="18"/>
                <w:szCs w:val="18"/>
              </w:rPr>
              <w:t>Continuation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shd w:val="clear" w:color="auto" w:fill="auto"/>
            <w:vAlign w:val="center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Counseling </w:t>
            </w:r>
          </w:p>
        </w:tc>
        <w:tc>
          <w:tcPr>
            <w:tcW w:w="2880" w:type="dxa"/>
            <w:shd w:val="clear" w:color="auto" w:fill="auto"/>
          </w:tcPr>
          <w:p w:rsidR="0073469A" w:rsidRPr="00AF53DE" w:rsidRDefault="0073469A" w:rsidP="007560A2">
            <w:pPr>
              <w:rPr>
                <w:rFonts w:ascii="Arial" w:hAnsi="Arial" w:cs="Arial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>Conditional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shd w:val="clear" w:color="auto" w:fill="auto"/>
            <w:vAlign w:val="center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>Culinary Arts</w:t>
            </w:r>
          </w:p>
        </w:tc>
        <w:tc>
          <w:tcPr>
            <w:tcW w:w="2880" w:type="dxa"/>
            <w:shd w:val="clear" w:color="auto" w:fill="auto"/>
          </w:tcPr>
          <w:p w:rsidR="0073469A" w:rsidRPr="00AF53DE" w:rsidRDefault="0073469A" w:rsidP="007560A2">
            <w:pPr>
              <w:rPr>
                <w:rFonts w:ascii="Arial" w:hAnsi="Arial" w:cs="Arial"/>
                <w:sz w:val="18"/>
                <w:szCs w:val="18"/>
              </w:rPr>
            </w:pPr>
            <w:r w:rsidRPr="00AF53DE">
              <w:rPr>
                <w:rFonts w:ascii="Arial" w:hAnsi="Arial" w:cs="Arial"/>
                <w:sz w:val="18"/>
                <w:szCs w:val="18"/>
              </w:rPr>
              <w:t xml:space="preserve">Continuation 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shd w:val="clear" w:color="auto" w:fill="auto"/>
            <w:vAlign w:val="center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Dance</w:t>
            </w:r>
          </w:p>
        </w:tc>
        <w:tc>
          <w:tcPr>
            <w:tcW w:w="2880" w:type="dxa"/>
            <w:shd w:val="clear" w:color="auto" w:fill="auto"/>
          </w:tcPr>
          <w:p w:rsidR="0073469A" w:rsidRPr="00F97219" w:rsidRDefault="0073469A" w:rsidP="007560A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97219">
              <w:rPr>
                <w:rFonts w:ascii="Arial" w:hAnsi="Arial" w:cs="Arial"/>
                <w:color w:val="FF0000"/>
                <w:sz w:val="18"/>
                <w:szCs w:val="18"/>
              </w:rPr>
              <w:t>Probation – no report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shd w:val="clear" w:color="auto" w:fill="auto"/>
            <w:vAlign w:val="center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Development and Community Relations</w:t>
            </w:r>
          </w:p>
        </w:tc>
        <w:tc>
          <w:tcPr>
            <w:tcW w:w="2880" w:type="dxa"/>
            <w:shd w:val="clear" w:color="auto" w:fill="auto"/>
          </w:tcPr>
          <w:p w:rsidR="0073469A" w:rsidRPr="00F97219" w:rsidRDefault="0073469A" w:rsidP="007560A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97219">
              <w:rPr>
                <w:rFonts w:ascii="Arial" w:hAnsi="Arial" w:cs="Arial"/>
                <w:color w:val="FF0000"/>
                <w:sz w:val="18"/>
                <w:szCs w:val="18"/>
              </w:rPr>
              <w:t>Probation – no report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shd w:val="clear" w:color="auto" w:fill="auto"/>
            <w:vAlign w:val="center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DSPS</w:t>
            </w:r>
          </w:p>
        </w:tc>
        <w:tc>
          <w:tcPr>
            <w:tcW w:w="2880" w:type="dxa"/>
            <w:shd w:val="clear" w:color="auto" w:fill="auto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Probation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Early College Program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Continuation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Financial Aid</w:t>
            </w:r>
          </w:p>
        </w:tc>
        <w:tc>
          <w:tcPr>
            <w:tcW w:w="2880" w:type="dxa"/>
            <w:shd w:val="clear" w:color="auto" w:fill="auto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Probation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vAlign w:val="center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Geology/Oceanography/ Env. Sci.</w:t>
            </w:r>
          </w:p>
        </w:tc>
        <w:tc>
          <w:tcPr>
            <w:tcW w:w="2880" w:type="dxa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Continuation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vAlign w:val="center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2880" w:type="dxa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Continuation 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vAlign w:val="center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Library &amp; Library Computer Lab</w:t>
            </w:r>
          </w:p>
        </w:tc>
        <w:tc>
          <w:tcPr>
            <w:tcW w:w="2880" w:type="dxa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Conditional 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vAlign w:val="center"/>
          </w:tcPr>
          <w:p w:rsidR="0073469A" w:rsidRPr="00AF35E6" w:rsidRDefault="0073469A" w:rsidP="007560A2">
            <w:pP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Marketing/PR</w:t>
            </w:r>
          </w:p>
        </w:tc>
        <w:tc>
          <w:tcPr>
            <w:tcW w:w="2880" w:type="dxa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Conditional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vAlign w:val="center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Matriculation</w:t>
            </w:r>
          </w:p>
        </w:tc>
        <w:tc>
          <w:tcPr>
            <w:tcW w:w="2880" w:type="dxa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Conditional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vAlign w:val="center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Modern Languages</w:t>
            </w:r>
          </w:p>
        </w:tc>
        <w:tc>
          <w:tcPr>
            <w:tcW w:w="2880" w:type="dxa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Continuation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vAlign w:val="center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Music</w:t>
            </w:r>
          </w:p>
        </w:tc>
        <w:tc>
          <w:tcPr>
            <w:tcW w:w="2880" w:type="dxa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Continuation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tcBorders>
              <w:bottom w:val="single" w:sz="4" w:space="0" w:color="auto"/>
            </w:tcBorders>
            <w:vAlign w:val="center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Nursing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97219">
              <w:rPr>
                <w:rFonts w:ascii="Arial" w:hAnsi="Arial" w:cs="Arial"/>
                <w:color w:val="FF0000"/>
                <w:sz w:val="18"/>
                <w:szCs w:val="18"/>
              </w:rPr>
              <w:t xml:space="preserve">Probation – no report 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Philosophy/Religious Studies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Continuation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Physics/Astronomy/ Observatory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Continuation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shd w:val="clear" w:color="auto" w:fill="auto"/>
            <w:vAlign w:val="center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Political Science</w:t>
            </w:r>
          </w:p>
        </w:tc>
        <w:tc>
          <w:tcPr>
            <w:tcW w:w="2880" w:type="dxa"/>
            <w:shd w:val="clear" w:color="auto" w:fill="auto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Continuation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shd w:val="clear" w:color="auto" w:fill="auto"/>
            <w:vAlign w:val="center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Reading</w:t>
            </w:r>
          </w:p>
        </w:tc>
        <w:tc>
          <w:tcPr>
            <w:tcW w:w="2880" w:type="dxa"/>
            <w:shd w:val="clear" w:color="auto" w:fill="auto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Continuation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shd w:val="clear" w:color="auto" w:fill="auto"/>
            <w:vAlign w:val="center"/>
          </w:tcPr>
          <w:p w:rsidR="0073469A" w:rsidRPr="00AF35E6" w:rsidRDefault="0073469A" w:rsidP="007560A2">
            <w:pPr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  <w:t>Theatre Arts</w:t>
            </w:r>
          </w:p>
        </w:tc>
        <w:tc>
          <w:tcPr>
            <w:tcW w:w="2880" w:type="dxa"/>
            <w:shd w:val="clear" w:color="auto" w:fill="auto"/>
          </w:tcPr>
          <w:p w:rsidR="0073469A" w:rsidRPr="00F97219" w:rsidRDefault="0073469A" w:rsidP="007560A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97219">
              <w:rPr>
                <w:rFonts w:ascii="Arial" w:hAnsi="Arial" w:cs="Arial"/>
                <w:color w:val="FF0000"/>
                <w:sz w:val="18"/>
                <w:szCs w:val="18"/>
              </w:rPr>
              <w:t>Approval to move to Spring 2021</w:t>
            </w:r>
          </w:p>
        </w:tc>
      </w:tr>
      <w:tr w:rsidR="0073469A" w:rsidRPr="00AF53DE" w:rsidTr="00CB02C2">
        <w:trPr>
          <w:cantSplit/>
        </w:trPr>
        <w:tc>
          <w:tcPr>
            <w:tcW w:w="4495" w:type="dxa"/>
            <w:shd w:val="clear" w:color="auto" w:fill="auto"/>
            <w:vAlign w:val="center"/>
          </w:tcPr>
          <w:p w:rsidR="0073469A" w:rsidRPr="00AF35E6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35E6">
              <w:rPr>
                <w:rFonts w:ascii="Arial" w:hAnsi="Arial" w:cs="Arial"/>
                <w:color w:val="000000" w:themeColor="text1"/>
                <w:sz w:val="18"/>
                <w:szCs w:val="18"/>
              </w:rPr>
              <w:t>Water Supply Technology</w:t>
            </w:r>
          </w:p>
        </w:tc>
        <w:tc>
          <w:tcPr>
            <w:tcW w:w="2880" w:type="dxa"/>
            <w:shd w:val="clear" w:color="auto" w:fill="auto"/>
          </w:tcPr>
          <w:p w:rsidR="0073469A" w:rsidRPr="00F97219" w:rsidRDefault="0073469A" w:rsidP="007560A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97219">
              <w:rPr>
                <w:rFonts w:ascii="Arial" w:hAnsi="Arial" w:cs="Arial"/>
                <w:color w:val="FF0000"/>
                <w:sz w:val="18"/>
                <w:szCs w:val="18"/>
              </w:rPr>
              <w:t xml:space="preserve">Probation – no report </w:t>
            </w:r>
          </w:p>
        </w:tc>
      </w:tr>
    </w:tbl>
    <w:p w:rsidR="0073469A" w:rsidRPr="00AF53DE" w:rsidRDefault="0073469A" w:rsidP="0073469A">
      <w:pPr>
        <w:rPr>
          <w:rFonts w:ascii="Arial" w:hAnsi="Arial" w:cs="Arial"/>
          <w:b/>
          <w:sz w:val="18"/>
          <w:szCs w:val="18"/>
        </w:rPr>
      </w:pPr>
    </w:p>
    <w:p w:rsidR="0073469A" w:rsidRPr="00AF53DE" w:rsidRDefault="0073469A" w:rsidP="0073469A">
      <w:pPr>
        <w:rPr>
          <w:rFonts w:ascii="Arial" w:hAnsi="Arial" w:cs="Arial"/>
          <w:b/>
          <w:sz w:val="18"/>
          <w:szCs w:val="18"/>
        </w:rPr>
      </w:pPr>
      <w:r w:rsidRPr="00AF53DE">
        <w:rPr>
          <w:rFonts w:ascii="Arial" w:hAnsi="Arial" w:cs="Arial"/>
          <w:b/>
          <w:sz w:val="18"/>
          <w:szCs w:val="18"/>
        </w:rPr>
        <w:t>Two-Year Review</w:t>
      </w:r>
      <w:r>
        <w:rPr>
          <w:rFonts w:ascii="Arial" w:hAnsi="Arial" w:cs="Arial"/>
          <w:b/>
          <w:sz w:val="18"/>
          <w:szCs w:val="18"/>
        </w:rPr>
        <w:t>ed</w:t>
      </w:r>
    </w:p>
    <w:tbl>
      <w:tblPr>
        <w:tblStyle w:val="TableGrid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2790"/>
      </w:tblGrid>
      <w:tr w:rsidR="0073469A" w:rsidRPr="00AF53DE" w:rsidTr="00CB02C2">
        <w:tc>
          <w:tcPr>
            <w:tcW w:w="4585" w:type="dxa"/>
            <w:tcBorders>
              <w:bottom w:val="single" w:sz="4" w:space="0" w:color="auto"/>
            </w:tcBorders>
          </w:tcPr>
          <w:p w:rsidR="0073469A" w:rsidRPr="00AF53DE" w:rsidRDefault="0073469A" w:rsidP="007560A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Department/Program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73469A" w:rsidRPr="00AF53DE" w:rsidRDefault="0073469A" w:rsidP="007560A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Ranking</w:t>
            </w:r>
          </w:p>
        </w:tc>
      </w:tr>
      <w:tr w:rsidR="0073469A" w:rsidRPr="00AF53DE" w:rsidTr="00CB02C2">
        <w:tc>
          <w:tcPr>
            <w:tcW w:w="458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>Machinist Technology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>Continuation</w:t>
            </w:r>
          </w:p>
        </w:tc>
      </w:tr>
    </w:tbl>
    <w:p w:rsidR="0073469A" w:rsidRPr="00AF53DE" w:rsidRDefault="0073469A" w:rsidP="0073469A">
      <w:pPr>
        <w:tabs>
          <w:tab w:val="left" w:pos="3300"/>
        </w:tabs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3469A" w:rsidRPr="00AF53DE" w:rsidRDefault="0073469A" w:rsidP="0073469A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AF53DE">
        <w:rPr>
          <w:rFonts w:ascii="Arial" w:hAnsi="Arial" w:cs="Arial"/>
          <w:b/>
          <w:color w:val="000000" w:themeColor="text1"/>
          <w:sz w:val="18"/>
          <w:szCs w:val="18"/>
        </w:rPr>
        <w:t xml:space="preserve">The following programs had conditional or probation ratings in </w:t>
      </w:r>
      <w:r w:rsidRPr="00AF53DE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spring 2019</w:t>
      </w:r>
      <w:r w:rsidRPr="00AF53DE">
        <w:rPr>
          <w:rFonts w:ascii="Arial" w:hAnsi="Arial" w:cs="Arial"/>
          <w:b/>
          <w:color w:val="000000" w:themeColor="text1"/>
          <w:sz w:val="18"/>
          <w:szCs w:val="18"/>
        </w:rPr>
        <w:t xml:space="preserve"> and w</w:t>
      </w:r>
      <w:r>
        <w:rPr>
          <w:rFonts w:ascii="Arial" w:hAnsi="Arial" w:cs="Arial"/>
          <w:b/>
          <w:color w:val="000000" w:themeColor="text1"/>
          <w:sz w:val="18"/>
          <w:szCs w:val="18"/>
        </w:rPr>
        <w:t>ere</w:t>
      </w:r>
      <w:r w:rsidRPr="00AF53DE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AF53DE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read and reviewed again by the entire committee</w:t>
      </w:r>
      <w:r w:rsidRPr="00AF53DE">
        <w:rPr>
          <w:rFonts w:ascii="Arial" w:hAnsi="Arial" w:cs="Arial"/>
          <w:b/>
          <w:color w:val="000000" w:themeColor="text1"/>
          <w:sz w:val="18"/>
          <w:szCs w:val="18"/>
        </w:rPr>
        <w:t xml:space="preserve">. 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4315"/>
        <w:gridCol w:w="6210"/>
      </w:tblGrid>
      <w:tr w:rsidR="0073469A" w:rsidRPr="00AF53DE" w:rsidTr="00F97219">
        <w:tc>
          <w:tcPr>
            <w:tcW w:w="4315" w:type="dxa"/>
          </w:tcPr>
          <w:p w:rsidR="0073469A" w:rsidRPr="00AF53DE" w:rsidRDefault="0073469A" w:rsidP="007560A2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Department/Program</w:t>
            </w:r>
          </w:p>
        </w:tc>
        <w:tc>
          <w:tcPr>
            <w:tcW w:w="6210" w:type="dxa"/>
          </w:tcPr>
          <w:p w:rsidR="0073469A" w:rsidRPr="00AF53DE" w:rsidRDefault="0073469A" w:rsidP="007560A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Ranking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(initial ranking </w:t>
            </w:r>
            <w:r w:rsidRPr="004701E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sym w:font="Wingdings" w:char="F0E0"/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current ranking)</w:t>
            </w:r>
          </w:p>
        </w:tc>
      </w:tr>
      <w:tr w:rsidR="0073469A" w:rsidRPr="00AF53DE" w:rsidTr="00F97219">
        <w:tc>
          <w:tcPr>
            <w:tcW w:w="4315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Admissions &amp; Records </w:t>
            </w:r>
          </w:p>
        </w:tc>
        <w:tc>
          <w:tcPr>
            <w:tcW w:w="6210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Conditional </w:t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E0"/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Conditional</w:t>
            </w:r>
          </w:p>
        </w:tc>
      </w:tr>
      <w:tr w:rsidR="0073469A" w:rsidRPr="00AF53DE" w:rsidTr="00F97219">
        <w:tc>
          <w:tcPr>
            <w:tcW w:w="4315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Business Administration</w:t>
            </w:r>
          </w:p>
        </w:tc>
        <w:tc>
          <w:tcPr>
            <w:tcW w:w="6210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Conditional </w:t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E0"/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Conditional</w:t>
            </w:r>
          </w:p>
        </w:tc>
      </w:tr>
      <w:tr w:rsidR="005401BD" w:rsidRPr="00AF53DE" w:rsidTr="00F97219">
        <w:tc>
          <w:tcPr>
            <w:tcW w:w="4315" w:type="dxa"/>
          </w:tcPr>
          <w:p w:rsidR="005401BD" w:rsidRPr="00D11E89" w:rsidRDefault="005401BD" w:rsidP="005401B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1E8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CalWorks</w:t>
            </w:r>
          </w:p>
        </w:tc>
        <w:tc>
          <w:tcPr>
            <w:tcW w:w="6210" w:type="dxa"/>
          </w:tcPr>
          <w:p w:rsidR="005401BD" w:rsidRPr="000C1A8C" w:rsidRDefault="005401BD" w:rsidP="005401B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C1A8C">
              <w:rPr>
                <w:rFonts w:ascii="Arial" w:hAnsi="Arial" w:cs="Arial"/>
                <w:color w:val="FF0000"/>
                <w:sz w:val="18"/>
                <w:szCs w:val="18"/>
              </w:rPr>
              <w:t xml:space="preserve">Program opted to submit a full efficacy report – </w:t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Conditional </w:t>
            </w:r>
            <w:r w:rsidRPr="005401BD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E0"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>Conditional</w:t>
            </w:r>
          </w:p>
        </w:tc>
      </w:tr>
      <w:tr w:rsidR="005401BD" w:rsidRPr="00AF53DE" w:rsidTr="00F97219">
        <w:tc>
          <w:tcPr>
            <w:tcW w:w="4315" w:type="dxa"/>
          </w:tcPr>
          <w:p w:rsidR="005401BD" w:rsidRPr="00D11E89" w:rsidRDefault="005401BD" w:rsidP="005401B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1E8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Campus Business Office/Mailroom/Switchboard </w:t>
            </w:r>
          </w:p>
        </w:tc>
        <w:tc>
          <w:tcPr>
            <w:tcW w:w="6210" w:type="dxa"/>
          </w:tcPr>
          <w:p w:rsidR="005401BD" w:rsidRPr="000C1A8C" w:rsidRDefault="005401BD" w:rsidP="005401B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C1A8C">
              <w:rPr>
                <w:rFonts w:ascii="Arial" w:hAnsi="Arial" w:cs="Arial"/>
                <w:color w:val="FF0000"/>
                <w:sz w:val="18"/>
                <w:szCs w:val="18"/>
              </w:rPr>
              <w:t xml:space="preserve">Program opted to submit a full efficacy report – </w:t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>Probation</w:t>
            </w:r>
            <w:r w:rsidR="00F9721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97219" w:rsidRPr="00F97219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E0"/>
            </w:r>
            <w:r w:rsidR="00F9721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Probation</w:t>
            </w:r>
          </w:p>
        </w:tc>
      </w:tr>
      <w:tr w:rsidR="005401BD" w:rsidRPr="00AF53DE" w:rsidTr="00F97219">
        <w:trPr>
          <w:trHeight w:val="170"/>
        </w:trPr>
        <w:tc>
          <w:tcPr>
            <w:tcW w:w="4315" w:type="dxa"/>
          </w:tcPr>
          <w:p w:rsidR="005401BD" w:rsidRPr="00D11E89" w:rsidRDefault="005401BD" w:rsidP="005401B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1E8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Computer Science</w:t>
            </w:r>
          </w:p>
        </w:tc>
        <w:tc>
          <w:tcPr>
            <w:tcW w:w="6210" w:type="dxa"/>
          </w:tcPr>
          <w:p w:rsidR="005401BD" w:rsidRPr="000C1A8C" w:rsidRDefault="005401BD" w:rsidP="005401B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C1A8C">
              <w:rPr>
                <w:rFonts w:ascii="Arial" w:hAnsi="Arial" w:cs="Arial"/>
                <w:color w:val="FF0000"/>
                <w:sz w:val="18"/>
                <w:szCs w:val="18"/>
              </w:rPr>
              <w:t xml:space="preserve">Program opted to submit a full efficacy report – </w:t>
            </w:r>
            <w:r w:rsidR="00F97219"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Conditional </w:t>
            </w:r>
            <w:r w:rsidR="00F97219" w:rsidRPr="005401BD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E0"/>
            </w:r>
            <w:r w:rsidR="00F9721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97219"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>Conditional</w:t>
            </w:r>
          </w:p>
        </w:tc>
      </w:tr>
      <w:tr w:rsidR="0073469A" w:rsidRPr="00AF53DE" w:rsidTr="00F97219">
        <w:tc>
          <w:tcPr>
            <w:tcW w:w="4315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First-Year Experience</w:t>
            </w:r>
          </w:p>
        </w:tc>
        <w:tc>
          <w:tcPr>
            <w:tcW w:w="6210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Conditional </w:t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E0"/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207F8">
              <w:rPr>
                <w:rFonts w:ascii="Arial" w:hAnsi="Arial" w:cs="Arial"/>
                <w:color w:val="000000" w:themeColor="text1"/>
                <w:sz w:val="18"/>
                <w:szCs w:val="18"/>
              </w:rPr>
              <w:t>Probation</w:t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3469A" w:rsidRPr="00AF53DE" w:rsidTr="00F97219">
        <w:tc>
          <w:tcPr>
            <w:tcW w:w="4315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Food &amp; Nutrition</w:t>
            </w:r>
          </w:p>
        </w:tc>
        <w:tc>
          <w:tcPr>
            <w:tcW w:w="6210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>Conditional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F35E6">
              <w:rPr>
                <w:rFonts w:ascii="Arial" w:hAnsi="Arial" w:cs="Arial"/>
                <w:color w:val="FF0000"/>
                <w:sz w:val="18"/>
                <w:szCs w:val="18"/>
              </w:rPr>
              <w:t>(kept as conditional due to cycle rotation duplication error)</w:t>
            </w:r>
          </w:p>
        </w:tc>
      </w:tr>
      <w:tr w:rsidR="0073469A" w:rsidRPr="00AF53DE" w:rsidTr="00F97219">
        <w:tc>
          <w:tcPr>
            <w:tcW w:w="4315" w:type="dxa"/>
          </w:tcPr>
          <w:p w:rsidR="0073469A" w:rsidRPr="00AF53DE" w:rsidRDefault="0073469A" w:rsidP="007560A2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Grants Development &amp; Management</w:t>
            </w:r>
          </w:p>
        </w:tc>
        <w:tc>
          <w:tcPr>
            <w:tcW w:w="6210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Probation </w:t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E0"/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Conditional </w:t>
            </w:r>
          </w:p>
        </w:tc>
      </w:tr>
      <w:tr w:rsidR="0073469A" w:rsidRPr="00AF53DE" w:rsidTr="00F97219">
        <w:tc>
          <w:tcPr>
            <w:tcW w:w="4315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Math</w:t>
            </w:r>
          </w:p>
        </w:tc>
        <w:tc>
          <w:tcPr>
            <w:tcW w:w="6210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Conditional </w:t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E0"/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Continuation</w:t>
            </w:r>
          </w:p>
        </w:tc>
      </w:tr>
      <w:tr w:rsidR="0073469A" w:rsidRPr="00AF53DE" w:rsidTr="00F97219">
        <w:tc>
          <w:tcPr>
            <w:tcW w:w="4315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Outreach/Recruitment </w:t>
            </w:r>
          </w:p>
        </w:tc>
        <w:tc>
          <w:tcPr>
            <w:tcW w:w="6210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Probation </w:t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E0"/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Probation</w:t>
            </w:r>
          </w:p>
        </w:tc>
      </w:tr>
      <w:tr w:rsidR="0073469A" w:rsidRPr="00AF53DE" w:rsidTr="00F97219">
        <w:tc>
          <w:tcPr>
            <w:tcW w:w="4315" w:type="dxa"/>
          </w:tcPr>
          <w:p w:rsidR="0073469A" w:rsidRPr="00AF53DE" w:rsidRDefault="0073469A" w:rsidP="007560A2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Pharmacy Technology</w:t>
            </w:r>
          </w:p>
        </w:tc>
        <w:tc>
          <w:tcPr>
            <w:tcW w:w="6210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Probation </w:t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E0"/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Conditional</w:t>
            </w:r>
          </w:p>
        </w:tc>
      </w:tr>
      <w:tr w:rsidR="0073469A" w:rsidRPr="00AF53DE" w:rsidTr="00F97219">
        <w:tc>
          <w:tcPr>
            <w:tcW w:w="4315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Professional Development </w:t>
            </w:r>
          </w:p>
        </w:tc>
        <w:tc>
          <w:tcPr>
            <w:tcW w:w="6210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Probation </w:t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E0"/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Continuation</w:t>
            </w:r>
          </w:p>
        </w:tc>
      </w:tr>
      <w:tr w:rsidR="0073469A" w:rsidRPr="00AF53DE" w:rsidTr="00F97219">
        <w:tc>
          <w:tcPr>
            <w:tcW w:w="4315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Veterans</w:t>
            </w:r>
          </w:p>
        </w:tc>
        <w:tc>
          <w:tcPr>
            <w:tcW w:w="6210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Conditional </w:t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E0"/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Conditional</w:t>
            </w:r>
          </w:p>
        </w:tc>
      </w:tr>
      <w:tr w:rsidR="0073469A" w:rsidRPr="00AF53DE" w:rsidTr="00F97219">
        <w:tc>
          <w:tcPr>
            <w:tcW w:w="4315" w:type="dxa"/>
          </w:tcPr>
          <w:p w:rsidR="0073469A" w:rsidRPr="00AF53DE" w:rsidRDefault="0073469A" w:rsidP="007560A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Student Success Center/Tutoring </w:t>
            </w:r>
          </w:p>
        </w:tc>
        <w:tc>
          <w:tcPr>
            <w:tcW w:w="6210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Conditional </w:t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E0"/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Continuation</w:t>
            </w:r>
          </w:p>
        </w:tc>
      </w:tr>
      <w:tr w:rsidR="0073469A" w:rsidRPr="00AF53DE" w:rsidTr="00F97219">
        <w:tc>
          <w:tcPr>
            <w:tcW w:w="4315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2-Year Reviews</w:t>
            </w:r>
          </w:p>
        </w:tc>
        <w:tc>
          <w:tcPr>
            <w:tcW w:w="6210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3469A" w:rsidRPr="00AF53DE" w:rsidTr="00F97219">
        <w:tc>
          <w:tcPr>
            <w:tcW w:w="4315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>Accounting</w:t>
            </w:r>
          </w:p>
        </w:tc>
        <w:tc>
          <w:tcPr>
            <w:tcW w:w="6210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Probation </w:t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E0"/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Conditional</w:t>
            </w:r>
          </w:p>
        </w:tc>
      </w:tr>
      <w:tr w:rsidR="0073469A" w:rsidRPr="00AF53DE" w:rsidTr="00F97219">
        <w:tc>
          <w:tcPr>
            <w:tcW w:w="4315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>Computer Information Technology</w:t>
            </w:r>
          </w:p>
        </w:tc>
        <w:tc>
          <w:tcPr>
            <w:tcW w:w="6210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Conditional </w:t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E0"/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Continuation</w:t>
            </w:r>
          </w:p>
        </w:tc>
      </w:tr>
      <w:tr w:rsidR="0073469A" w:rsidRPr="00AF53DE" w:rsidTr="00F97219">
        <w:trPr>
          <w:trHeight w:val="206"/>
        </w:trPr>
        <w:tc>
          <w:tcPr>
            <w:tcW w:w="4315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>Corrections</w:t>
            </w:r>
          </w:p>
        </w:tc>
        <w:tc>
          <w:tcPr>
            <w:tcW w:w="6210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Probation </w:t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E0"/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Continuation</w:t>
            </w:r>
          </w:p>
        </w:tc>
      </w:tr>
      <w:tr w:rsidR="0073469A" w:rsidRPr="00AF53DE" w:rsidTr="00F97219">
        <w:trPr>
          <w:trHeight w:val="206"/>
        </w:trPr>
        <w:tc>
          <w:tcPr>
            <w:tcW w:w="4315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>Real Estate</w:t>
            </w:r>
          </w:p>
        </w:tc>
        <w:tc>
          <w:tcPr>
            <w:tcW w:w="6210" w:type="dxa"/>
          </w:tcPr>
          <w:p w:rsidR="0073469A" w:rsidRPr="00AF53DE" w:rsidRDefault="0073469A" w:rsidP="007560A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Conditional </w:t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E0"/>
            </w:r>
            <w:r w:rsidRPr="00AF53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Continuation</w:t>
            </w:r>
          </w:p>
        </w:tc>
      </w:tr>
    </w:tbl>
    <w:p w:rsidR="0073469A" w:rsidRPr="00AC4FCF" w:rsidRDefault="0073469A" w:rsidP="0073469A">
      <w:pPr>
        <w:tabs>
          <w:tab w:val="left" w:pos="3300"/>
        </w:tabs>
        <w:rPr>
          <w:rFonts w:ascii="Arial" w:hAnsi="Arial" w:cs="Arial"/>
          <w:b/>
          <w:sz w:val="18"/>
          <w:szCs w:val="18"/>
        </w:rPr>
      </w:pPr>
    </w:p>
    <w:p w:rsidR="00D10E3C" w:rsidRDefault="00D10E3C"/>
    <w:sectPr w:rsidR="00D10E3C" w:rsidSect="002460A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F1CD2"/>
    <w:multiLevelType w:val="hybridMultilevel"/>
    <w:tmpl w:val="BA942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C2734"/>
    <w:multiLevelType w:val="hybridMultilevel"/>
    <w:tmpl w:val="66C40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40C"/>
    <w:rsid w:val="001662AA"/>
    <w:rsid w:val="002460AE"/>
    <w:rsid w:val="003D49E9"/>
    <w:rsid w:val="005070C1"/>
    <w:rsid w:val="005401BD"/>
    <w:rsid w:val="0073469A"/>
    <w:rsid w:val="00767B6E"/>
    <w:rsid w:val="00786F98"/>
    <w:rsid w:val="00A14DA9"/>
    <w:rsid w:val="00A67635"/>
    <w:rsid w:val="00BD240C"/>
    <w:rsid w:val="00C47BAD"/>
    <w:rsid w:val="00CB02C2"/>
    <w:rsid w:val="00D10E3C"/>
    <w:rsid w:val="00F9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5AC621-40A9-41AA-B8DD-0AC27F27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9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0AE"/>
    <w:pPr>
      <w:ind w:left="720"/>
      <w:contextualSpacing/>
    </w:pPr>
  </w:style>
  <w:style w:type="table" w:styleId="TableGrid">
    <w:name w:val="Table Grid"/>
    <w:basedOn w:val="TableNormal"/>
    <w:uiPriority w:val="59"/>
    <w:rsid w:val="00D10E3C"/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D10E3C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Lamore</dc:creator>
  <cp:keywords/>
  <dc:description/>
  <cp:lastModifiedBy>Joel Lamore</cp:lastModifiedBy>
  <cp:revision>3</cp:revision>
  <dcterms:created xsi:type="dcterms:W3CDTF">2020-05-21T21:46:00Z</dcterms:created>
  <dcterms:modified xsi:type="dcterms:W3CDTF">2020-07-28T18:51:00Z</dcterms:modified>
</cp:coreProperties>
</file>