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1C8A6" w14:textId="77777777" w:rsidR="00354999" w:rsidRDefault="005D4D78" w:rsidP="00F46A11">
      <w:pPr>
        <w:spacing w:after="240"/>
        <w:rPr>
          <w:b/>
          <w:bCs/>
        </w:rPr>
      </w:pPr>
      <w:r w:rsidRPr="00F46A11">
        <w:rPr>
          <w:b/>
          <w:bCs/>
        </w:rPr>
        <w:t>SP26.</w:t>
      </w:r>
      <w:r w:rsidR="00354999">
        <w:rPr>
          <w:b/>
          <w:bCs/>
        </w:rPr>
        <w:t>02</w:t>
      </w:r>
    </w:p>
    <w:p w14:paraId="6BE371A9" w14:textId="6A0C1DD8" w:rsidR="0023169A" w:rsidRPr="00F46A11" w:rsidRDefault="00F46A11" w:rsidP="00F46A11">
      <w:pPr>
        <w:spacing w:after="240"/>
      </w:pPr>
      <w:r>
        <w:t xml:space="preserve"> </w:t>
      </w:r>
      <w:r w:rsidR="005D4D78" w:rsidRPr="00F46A11">
        <w:rPr>
          <w:b/>
          <w:bCs/>
        </w:rPr>
        <w:t>Resolution</w:t>
      </w:r>
      <w:r w:rsidR="002E1289">
        <w:rPr>
          <w:b/>
          <w:bCs/>
        </w:rPr>
        <w:t>:</w:t>
      </w:r>
      <w:r w:rsidR="005D4D78" w:rsidRPr="00F46A11">
        <w:rPr>
          <w:b/>
          <w:bCs/>
        </w:rPr>
        <w:t xml:space="preserve"> </w:t>
      </w:r>
      <w:r w:rsidR="002E1289">
        <w:rPr>
          <w:b/>
          <w:bCs/>
        </w:rPr>
        <w:t>I</w:t>
      </w:r>
      <w:r w:rsidR="005D4D78" w:rsidRPr="00F46A11">
        <w:rPr>
          <w:b/>
          <w:bCs/>
        </w:rPr>
        <w:t>n Support of Equitable Laboratory Faculty Work and Governance Participation</w:t>
      </w:r>
    </w:p>
    <w:p w14:paraId="6BE371AC" w14:textId="65967FF6" w:rsidR="0023169A" w:rsidRPr="00F46A11" w:rsidRDefault="005D4D78">
      <w:pPr>
        <w:spacing w:after="200"/>
      </w:pPr>
      <w:r w:rsidRPr="00F46A11">
        <w:rPr>
          <w:b/>
          <w:bCs/>
        </w:rPr>
        <w:t xml:space="preserve">Whereas, </w:t>
      </w:r>
      <w:r w:rsidRPr="00F46A11">
        <w:t>The Academic Senate for California Community Colleges (ASCCC) adopted Resolution 111.07 S25, “Laboratory Faculty and College Governance,”</w:t>
      </w:r>
      <w:r w:rsidR="00387866" w:rsidRPr="00387866">
        <w:rPr>
          <w:vertAlign w:val="superscript"/>
        </w:rPr>
        <w:t>1</w:t>
      </w:r>
      <w:r w:rsidR="00387866">
        <w:t xml:space="preserve"> </w:t>
      </w:r>
      <w:r w:rsidRPr="00F46A11">
        <w:t>which asserts that the discrepancy between lecture and laboratory compensation “is not grounded in modern pedagogical practices or the actual work performed and instead creates inequities among faculty groups” and recommends that “colleges prioritize eliminating historical structural inequities in faculty load and pay determinations as part of their processes of instructional planning and budget development”;</w:t>
      </w:r>
    </w:p>
    <w:p w14:paraId="6BE371AD" w14:textId="7DA3021D" w:rsidR="0023169A" w:rsidRPr="00F46A11" w:rsidRDefault="005D4D78">
      <w:pPr>
        <w:spacing w:after="200"/>
      </w:pPr>
      <w:r w:rsidRPr="00F46A11">
        <w:rPr>
          <w:b/>
          <w:bCs/>
        </w:rPr>
        <w:t xml:space="preserve">Whereas, </w:t>
      </w:r>
      <w:r w:rsidRPr="00F46A11">
        <w:t>Professional education organizations including the American Chemical Society,</w:t>
      </w:r>
      <w:r>
        <w:rPr>
          <w:vertAlign w:val="superscript"/>
        </w:rPr>
        <w:t>2</w:t>
      </w:r>
      <w:r w:rsidRPr="00F46A11">
        <w:t xml:space="preserve"> the American Association of Physics Teachers,</w:t>
      </w:r>
      <w:r>
        <w:rPr>
          <w:vertAlign w:val="superscript"/>
        </w:rPr>
        <w:t>3</w:t>
      </w:r>
      <w:r w:rsidRPr="00F46A11">
        <w:t xml:space="preserve"> and the National Association of Biology Teachers</w:t>
      </w:r>
      <w:r>
        <w:rPr>
          <w:vertAlign w:val="superscript"/>
        </w:rPr>
        <w:t>4</w:t>
      </w:r>
      <w:r w:rsidRPr="00F46A11">
        <w:t xml:space="preserve"> recommend that faculty contact hours not exceed 15 hours per week, and ASCCC Resolution 19.02 SP16, “Career Technical Education and Laboratory/Activity Faculty and College Governance,”</w:t>
      </w:r>
      <w:r>
        <w:rPr>
          <w:vertAlign w:val="superscript"/>
        </w:rPr>
        <w:t>5</w:t>
      </w:r>
      <w:r w:rsidRPr="00F46A11">
        <w:t xml:space="preserve"> recognized that the lecture-laboratory differential limits the time available for faculty teaching laboratory courses “to participate in governance matters at local colleges and statewide”;</w:t>
      </w:r>
    </w:p>
    <w:p w14:paraId="6BE371AE" w14:textId="7E309783" w:rsidR="0023169A" w:rsidRPr="00F46A11" w:rsidRDefault="005D4D78">
      <w:pPr>
        <w:spacing w:after="200"/>
      </w:pPr>
      <w:r w:rsidRPr="00F46A11">
        <w:rPr>
          <w:b/>
          <w:bCs/>
        </w:rPr>
        <w:t xml:space="preserve">Whereas, </w:t>
      </w:r>
      <w:r w:rsidRPr="00F46A11">
        <w:t>The quality of laboratory instruction directly affects student preparation, learning outcomes, and success across disciplines including the sciences, allied health, career technical education, and the arts, and sustainable high-quality programs depend on the ability to recruit and retain qualified faculty, matters that fall within the Academic Senate’s purview over curriculum, educational program development, and standards regarding student preparation and success under Title 5 §53200;</w:t>
      </w:r>
      <w:r>
        <w:rPr>
          <w:vertAlign w:val="superscript"/>
        </w:rPr>
        <w:t>6</w:t>
      </w:r>
      <w:r w:rsidRPr="00F46A11">
        <w:t xml:space="preserve"> and</w:t>
      </w:r>
    </w:p>
    <w:p w14:paraId="6BE371AF" w14:textId="6859E2D7" w:rsidR="0023169A" w:rsidRPr="00F46A11" w:rsidRDefault="005D4D78">
      <w:pPr>
        <w:spacing w:after="200"/>
      </w:pPr>
      <w:r w:rsidRPr="00F46A11">
        <w:rPr>
          <w:b/>
          <w:bCs/>
        </w:rPr>
        <w:t xml:space="preserve">Whereas, </w:t>
      </w:r>
      <w:r w:rsidRPr="00F46A11">
        <w:t>Research indicates that women and faculty of color are disproportionately affected by the lecture-laboratory differential, particularly in disciplines that require extensive laboratory or hands-on instruction,</w:t>
      </w:r>
      <w:r>
        <w:rPr>
          <w:vertAlign w:val="superscript"/>
        </w:rPr>
        <w:t>7</w:t>
      </w:r>
      <w:r w:rsidRPr="00F46A11">
        <w:t xml:space="preserve"> raising equity concerns that intersect with the Senate’s role in educational program development and faculty professional standards;</w:t>
      </w:r>
    </w:p>
    <w:p w14:paraId="6BE371B0" w14:textId="77777777" w:rsidR="0023169A" w:rsidRPr="00F46A11" w:rsidRDefault="005D4D78">
      <w:pPr>
        <w:spacing w:after="200"/>
      </w:pPr>
      <w:r w:rsidRPr="00F46A11">
        <w:rPr>
          <w:b/>
          <w:bCs/>
        </w:rPr>
        <w:t xml:space="preserve">Resolved, </w:t>
      </w:r>
      <w:r w:rsidRPr="00F46A11">
        <w:t>That the San Bernardino Valley College Academic Senate affirm its support for the principles articulated in ASCCC Resolutions 111.07 S25 and 19.02 SP16, recognizing that the differential treatment of lecture and laboratory instruction is not grounded in modern pedagogy and creates structural inequities affecting faculty participation in governance;</w:t>
      </w:r>
    </w:p>
    <w:p w14:paraId="6BE371B1" w14:textId="7CE29EEE" w:rsidR="0023169A" w:rsidRDefault="005D4D78">
      <w:pPr>
        <w:spacing w:after="200"/>
      </w:pPr>
      <w:r w:rsidRPr="00F46A11">
        <w:rPr>
          <w:b/>
          <w:bCs/>
        </w:rPr>
        <w:t xml:space="preserve">Resolved, </w:t>
      </w:r>
      <w:r w:rsidRPr="00F46A11">
        <w:t>That the San Bernardino Valley College Academic Senate President communicate this resolution to the SBVC College President, the SBCCD Chancellor, and the Board of Trustees to express the Senate’s position that equitable treatment of laboratory faculty work is essential</w:t>
      </w:r>
      <w:r>
        <w:t xml:space="preserve"> to maintaining high-quality instructional programs and enabling full faculty participation in governance;</w:t>
      </w:r>
    </w:p>
    <w:p w14:paraId="6BE371B2" w14:textId="17203255" w:rsidR="0023169A" w:rsidRDefault="005D4D78">
      <w:pPr>
        <w:spacing w:after="200"/>
      </w:pPr>
      <w:r>
        <w:rPr>
          <w:b/>
          <w:bCs/>
        </w:rPr>
        <w:t xml:space="preserve">Resolved, </w:t>
      </w:r>
      <w:r>
        <w:t xml:space="preserve">That the San Bernardino Valley College Academic Senate encourage the integration of laboratory work considerations into Senate processes related to institutional planning and budget development, program review, and educational program development, and urge SBVC </w:t>
      </w:r>
      <w:r>
        <w:lastRenderedPageBreak/>
        <w:t>and SBCCD administration to support the implementation of equitable laboratory load assignments as a matter of instructional quality, program sustainability, and faculty equity; and</w:t>
      </w:r>
    </w:p>
    <w:p w14:paraId="6BE371B3" w14:textId="77777777" w:rsidR="0023169A" w:rsidRDefault="005D4D78">
      <w:pPr>
        <w:spacing w:after="200"/>
      </w:pPr>
      <w:r>
        <w:rPr>
          <w:b/>
          <w:bCs/>
        </w:rPr>
        <w:t xml:space="preserve">Resolved, </w:t>
      </w:r>
      <w:r>
        <w:t>That this resolution be forwarded to the Crafton Hills College Academic Senate, the SBCCDTA, and the Academic Senate for California Community Colleges.</w:t>
      </w:r>
    </w:p>
    <w:p w14:paraId="6BE371B4" w14:textId="77777777" w:rsidR="0023169A" w:rsidRDefault="005D4D78">
      <w:pPr>
        <w:spacing w:before="480" w:after="120"/>
      </w:pPr>
      <w:r>
        <w:rPr>
          <w:b/>
          <w:bCs/>
          <w:sz w:val="22"/>
          <w:szCs w:val="22"/>
        </w:rPr>
        <w:t>References</w:t>
      </w:r>
    </w:p>
    <w:p w14:paraId="6BE371B5" w14:textId="14CD45B7" w:rsidR="0023169A" w:rsidRDefault="005D4D78">
      <w:pPr>
        <w:spacing w:after="80"/>
      </w:pPr>
      <w:r>
        <w:rPr>
          <w:sz w:val="20"/>
          <w:szCs w:val="20"/>
          <w:vertAlign w:val="superscript"/>
        </w:rPr>
        <w:t>1</w:t>
      </w:r>
      <w:r>
        <w:rPr>
          <w:sz w:val="20"/>
          <w:szCs w:val="20"/>
        </w:rPr>
        <w:t xml:space="preserve"> ASCCC Resolution 111.07 S25, “Laboratory Faculty and College Governance,” adopted Spring 2025: </w:t>
      </w:r>
      <w:hyperlink r:id="rId5" w:history="1">
        <w:r w:rsidR="0023169A">
          <w:rPr>
            <w:rStyle w:val="Hyperlink"/>
            <w:sz w:val="20"/>
            <w:szCs w:val="20"/>
          </w:rPr>
          <w:t>https://www.asccc.org/resolutions/laboratory-faculty-and-college-governance</w:t>
        </w:r>
      </w:hyperlink>
    </w:p>
    <w:p w14:paraId="6BE371B6" w14:textId="4D212EA5" w:rsidR="0023169A" w:rsidRPr="001F0C18" w:rsidRDefault="005D4D78" w:rsidP="001F0C18">
      <w:pPr>
        <w:spacing w:after="80"/>
        <w:rPr>
          <w:i/>
          <w:iCs/>
          <w:sz w:val="20"/>
          <w:szCs w:val="20"/>
        </w:rPr>
      </w:pPr>
      <w:r>
        <w:rPr>
          <w:sz w:val="20"/>
          <w:szCs w:val="20"/>
          <w:vertAlign w:val="superscript"/>
        </w:rPr>
        <w:t>2</w:t>
      </w:r>
      <w:r>
        <w:rPr>
          <w:sz w:val="20"/>
          <w:szCs w:val="20"/>
        </w:rPr>
        <w:t xml:space="preserve"> American Chemical Society, </w:t>
      </w:r>
      <w:r w:rsidR="001F0C18" w:rsidRPr="001F0C18">
        <w:rPr>
          <w:i/>
          <w:iCs/>
          <w:sz w:val="20"/>
          <w:szCs w:val="20"/>
        </w:rPr>
        <w:t>ACS Guidelines for Chemistry</w:t>
      </w:r>
      <w:r w:rsidR="001F0C18">
        <w:rPr>
          <w:i/>
          <w:iCs/>
          <w:sz w:val="20"/>
          <w:szCs w:val="20"/>
        </w:rPr>
        <w:t xml:space="preserve"> </w:t>
      </w:r>
      <w:r w:rsidR="001F0C18" w:rsidRPr="001F0C18">
        <w:rPr>
          <w:i/>
          <w:iCs/>
          <w:sz w:val="20"/>
          <w:szCs w:val="20"/>
        </w:rPr>
        <w:t xml:space="preserve">in Two-Year College Programs </w:t>
      </w:r>
      <w:r>
        <w:rPr>
          <w:sz w:val="20"/>
          <w:szCs w:val="20"/>
        </w:rPr>
        <w:t xml:space="preserve">p. 7: </w:t>
      </w:r>
      <w:hyperlink r:id="rId6" w:history="1">
        <w:r w:rsidR="001F0C18" w:rsidRPr="001F0C22">
          <w:rPr>
            <w:rStyle w:val="Hyperlink"/>
            <w:sz w:val="20"/>
            <w:szCs w:val="20"/>
          </w:rPr>
          <w:t>https://www.acs.org/content/dam/acsorg/education/policies/twoyearcollege/2015_guidelines_for_two_year_college_prorgrams.pdf</w:t>
        </w:r>
      </w:hyperlink>
      <w:r w:rsidR="001F0C18">
        <w:rPr>
          <w:sz w:val="20"/>
          <w:szCs w:val="20"/>
        </w:rPr>
        <w:t xml:space="preserve"> </w:t>
      </w:r>
    </w:p>
    <w:p w14:paraId="6BE371B7" w14:textId="6C166A48" w:rsidR="0023169A" w:rsidRDefault="005D4D78">
      <w:pPr>
        <w:spacing w:after="80"/>
      </w:pPr>
      <w:r>
        <w:rPr>
          <w:sz w:val="20"/>
          <w:szCs w:val="20"/>
          <w:vertAlign w:val="superscript"/>
        </w:rPr>
        <w:t>3</w:t>
      </w:r>
      <w:r>
        <w:rPr>
          <w:sz w:val="20"/>
          <w:szCs w:val="20"/>
        </w:rPr>
        <w:t xml:space="preserve"> American Association of Physics Teachers, </w:t>
      </w:r>
      <w:r>
        <w:rPr>
          <w:i/>
          <w:iCs/>
          <w:sz w:val="20"/>
          <w:szCs w:val="20"/>
        </w:rPr>
        <w:t>Guidelines for Two-Year College Physics Programs</w:t>
      </w:r>
      <w:r>
        <w:rPr>
          <w:sz w:val="20"/>
          <w:szCs w:val="20"/>
        </w:rPr>
        <w:t>, p. 18</w:t>
      </w:r>
      <w:r w:rsidR="00522FC6">
        <w:rPr>
          <w:sz w:val="20"/>
          <w:szCs w:val="20"/>
        </w:rPr>
        <w:t>-19</w:t>
      </w:r>
      <w:r>
        <w:rPr>
          <w:sz w:val="20"/>
          <w:szCs w:val="20"/>
        </w:rPr>
        <w:t xml:space="preserve">: </w:t>
      </w:r>
      <w:hyperlink r:id="rId7" w:history="1">
        <w:r w:rsidR="00B7566E" w:rsidRPr="001F0C22">
          <w:rPr>
            <w:rStyle w:val="Hyperlink"/>
            <w:sz w:val="20"/>
            <w:szCs w:val="20"/>
          </w:rPr>
          <w:t>https://aapt.org/Resources/upload/TYCGuidelines-PDF.pdf</w:t>
        </w:r>
      </w:hyperlink>
      <w:r w:rsidR="00B7566E">
        <w:rPr>
          <w:sz w:val="20"/>
          <w:szCs w:val="20"/>
        </w:rPr>
        <w:t xml:space="preserve"> </w:t>
      </w:r>
    </w:p>
    <w:p w14:paraId="6BE371B8" w14:textId="796E2469" w:rsidR="0023169A" w:rsidRDefault="005D4D78">
      <w:pPr>
        <w:spacing w:after="80"/>
      </w:pPr>
      <w:r>
        <w:rPr>
          <w:sz w:val="20"/>
          <w:szCs w:val="20"/>
          <w:vertAlign w:val="superscript"/>
        </w:rPr>
        <w:t>4</w:t>
      </w:r>
      <w:r>
        <w:rPr>
          <w:sz w:val="20"/>
          <w:szCs w:val="20"/>
        </w:rPr>
        <w:t xml:space="preserve"> National Association of Biology Teachers, </w:t>
      </w:r>
      <w:r>
        <w:rPr>
          <w:i/>
          <w:iCs/>
          <w:sz w:val="20"/>
          <w:szCs w:val="20"/>
        </w:rPr>
        <w:t>Position Statement: Role and Preparation of Two-Year College Biology Faculty</w:t>
      </w:r>
      <w:r>
        <w:rPr>
          <w:sz w:val="20"/>
          <w:szCs w:val="20"/>
        </w:rPr>
        <w:t xml:space="preserve">: </w:t>
      </w:r>
      <w:hyperlink r:id="rId8" w:history="1">
        <w:r w:rsidR="0023344F" w:rsidRPr="001F0C22">
          <w:rPr>
            <w:rStyle w:val="Hyperlink"/>
            <w:sz w:val="20"/>
            <w:szCs w:val="20"/>
          </w:rPr>
          <w:t>https://nabt.org/Two-Year-College-Section-Guidelines</w:t>
        </w:r>
      </w:hyperlink>
      <w:r w:rsidR="0023344F">
        <w:rPr>
          <w:sz w:val="20"/>
          <w:szCs w:val="20"/>
        </w:rPr>
        <w:t xml:space="preserve"> </w:t>
      </w:r>
    </w:p>
    <w:p w14:paraId="6BE371B9" w14:textId="3CCE54AA" w:rsidR="0023169A" w:rsidRDefault="005D4D78">
      <w:pPr>
        <w:spacing w:after="80"/>
      </w:pPr>
      <w:r>
        <w:rPr>
          <w:sz w:val="20"/>
          <w:szCs w:val="20"/>
          <w:vertAlign w:val="superscript"/>
        </w:rPr>
        <w:t>5</w:t>
      </w:r>
      <w:r>
        <w:rPr>
          <w:sz w:val="20"/>
          <w:szCs w:val="20"/>
        </w:rPr>
        <w:t xml:space="preserve"> ASCCC Resolution 19.02 SP16, “Career Technical Education and Laboratory/Activity Faculty and College Governance”: </w:t>
      </w:r>
      <w:hyperlink r:id="rId9" w:history="1">
        <w:r w:rsidR="0023169A">
          <w:rPr>
            <w:rStyle w:val="Hyperlink"/>
            <w:sz w:val="20"/>
            <w:szCs w:val="20"/>
          </w:rPr>
          <w:t>https://www.asccc.org/resolutions/career-technical-education-and-laboratoryactivity-faculty-and-college-governance</w:t>
        </w:r>
      </w:hyperlink>
    </w:p>
    <w:p w14:paraId="6BE371BA" w14:textId="633E1E98" w:rsidR="0023169A" w:rsidRDefault="005D4D78">
      <w:pPr>
        <w:spacing w:after="80"/>
      </w:pPr>
      <w:r>
        <w:rPr>
          <w:sz w:val="20"/>
          <w:szCs w:val="20"/>
          <w:vertAlign w:val="superscript"/>
        </w:rPr>
        <w:t>6</w:t>
      </w:r>
      <w:r>
        <w:rPr>
          <w:sz w:val="20"/>
          <w:szCs w:val="20"/>
        </w:rPr>
        <w:t xml:space="preserve"> California Code of Regulations, Title 5, §53200 (Academic Senate 10+1): </w:t>
      </w:r>
      <w:hyperlink r:id="rId10" w:history="1">
        <w:r w:rsidR="0023169A">
          <w:rPr>
            <w:rStyle w:val="Hyperlink"/>
            <w:sz w:val="20"/>
            <w:szCs w:val="20"/>
          </w:rPr>
          <w:t>https://govt.westlaw.com/calregs/Document/I604256434C6911EC93A8000D3A7C4BC3</w:t>
        </w:r>
      </w:hyperlink>
    </w:p>
    <w:p w14:paraId="6BE371BB" w14:textId="6BD1F09C" w:rsidR="0023169A" w:rsidRDefault="005D4D78">
      <w:pPr>
        <w:spacing w:after="80"/>
      </w:pPr>
      <w:r>
        <w:rPr>
          <w:sz w:val="20"/>
          <w:szCs w:val="20"/>
          <w:vertAlign w:val="superscript"/>
        </w:rPr>
        <w:t>7</w:t>
      </w:r>
      <w:r>
        <w:rPr>
          <w:sz w:val="20"/>
          <w:szCs w:val="20"/>
        </w:rPr>
        <w:t xml:space="preserve"> CUPA-HR, </w:t>
      </w:r>
      <w:r>
        <w:rPr>
          <w:i/>
          <w:iCs/>
          <w:sz w:val="20"/>
          <w:szCs w:val="20"/>
        </w:rPr>
        <w:t>Representation and Pay Equity in Higher Ed Faculty</w:t>
      </w:r>
      <w:r>
        <w:rPr>
          <w:sz w:val="20"/>
          <w:szCs w:val="20"/>
        </w:rPr>
        <w:t xml:space="preserve">, April 2024: </w:t>
      </w:r>
      <w:hyperlink r:id="rId11" w:history="1">
        <w:r w:rsidR="0023169A">
          <w:rPr>
            <w:rStyle w:val="Hyperlink"/>
            <w:sz w:val="20"/>
            <w:szCs w:val="20"/>
          </w:rPr>
          <w:t>https://www.cupahr.org/surveys/research-briefs/representation-and-pay-equity-in-higher-ed-faculty-trends-april-2024/</w:t>
        </w:r>
      </w:hyperlink>
    </w:p>
    <w:sectPr w:rsidR="0023169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C10BC"/>
    <w:multiLevelType w:val="hybridMultilevel"/>
    <w:tmpl w:val="7562CE92"/>
    <w:lvl w:ilvl="0" w:tplc="678CE8C8">
      <w:start w:val="1"/>
      <w:numFmt w:val="bullet"/>
      <w:lvlText w:val="●"/>
      <w:lvlJc w:val="left"/>
      <w:pPr>
        <w:ind w:left="720" w:hanging="360"/>
      </w:pPr>
    </w:lvl>
    <w:lvl w:ilvl="1" w:tplc="05D64D2E">
      <w:start w:val="1"/>
      <w:numFmt w:val="bullet"/>
      <w:lvlText w:val="○"/>
      <w:lvlJc w:val="left"/>
      <w:pPr>
        <w:ind w:left="1440" w:hanging="360"/>
      </w:pPr>
    </w:lvl>
    <w:lvl w:ilvl="2" w:tplc="6E8EA3EE">
      <w:start w:val="1"/>
      <w:numFmt w:val="bullet"/>
      <w:lvlText w:val="■"/>
      <w:lvlJc w:val="left"/>
      <w:pPr>
        <w:ind w:left="2160" w:hanging="360"/>
      </w:pPr>
    </w:lvl>
    <w:lvl w:ilvl="3" w:tplc="7BD06D9C">
      <w:start w:val="1"/>
      <w:numFmt w:val="bullet"/>
      <w:lvlText w:val="●"/>
      <w:lvlJc w:val="left"/>
      <w:pPr>
        <w:ind w:left="2880" w:hanging="360"/>
      </w:pPr>
    </w:lvl>
    <w:lvl w:ilvl="4" w:tplc="59F80B4C">
      <w:start w:val="1"/>
      <w:numFmt w:val="bullet"/>
      <w:lvlText w:val="○"/>
      <w:lvlJc w:val="left"/>
      <w:pPr>
        <w:ind w:left="3600" w:hanging="360"/>
      </w:pPr>
    </w:lvl>
    <w:lvl w:ilvl="5" w:tplc="B1A80EAA">
      <w:start w:val="1"/>
      <w:numFmt w:val="bullet"/>
      <w:lvlText w:val="■"/>
      <w:lvlJc w:val="left"/>
      <w:pPr>
        <w:ind w:left="4320" w:hanging="360"/>
      </w:pPr>
    </w:lvl>
    <w:lvl w:ilvl="6" w:tplc="099E5BEA">
      <w:start w:val="1"/>
      <w:numFmt w:val="bullet"/>
      <w:lvlText w:val="●"/>
      <w:lvlJc w:val="left"/>
      <w:pPr>
        <w:ind w:left="5040" w:hanging="360"/>
      </w:pPr>
    </w:lvl>
    <w:lvl w:ilvl="7" w:tplc="AE3EEEA0">
      <w:start w:val="1"/>
      <w:numFmt w:val="bullet"/>
      <w:lvlText w:val="●"/>
      <w:lvlJc w:val="left"/>
      <w:pPr>
        <w:ind w:left="5760" w:hanging="360"/>
      </w:pPr>
    </w:lvl>
    <w:lvl w:ilvl="8" w:tplc="119E5496">
      <w:start w:val="1"/>
      <w:numFmt w:val="bullet"/>
      <w:lvlText w:val="●"/>
      <w:lvlJc w:val="left"/>
      <w:pPr>
        <w:ind w:left="6480" w:hanging="360"/>
      </w:pPr>
    </w:lvl>
  </w:abstractNum>
  <w:num w:numId="1" w16cid:durableId="7283065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69A"/>
    <w:rsid w:val="001F0C18"/>
    <w:rsid w:val="0023169A"/>
    <w:rsid w:val="0023344F"/>
    <w:rsid w:val="002E1289"/>
    <w:rsid w:val="003243D4"/>
    <w:rsid w:val="00354999"/>
    <w:rsid w:val="0037037B"/>
    <w:rsid w:val="00387866"/>
    <w:rsid w:val="003C3EB0"/>
    <w:rsid w:val="00522FC6"/>
    <w:rsid w:val="005D4D78"/>
    <w:rsid w:val="00641CDA"/>
    <w:rsid w:val="006E323C"/>
    <w:rsid w:val="007304D3"/>
    <w:rsid w:val="00745461"/>
    <w:rsid w:val="00921403"/>
    <w:rsid w:val="00A33183"/>
    <w:rsid w:val="00AA18C7"/>
    <w:rsid w:val="00B531EC"/>
    <w:rsid w:val="00B7566E"/>
    <w:rsid w:val="00C92884"/>
    <w:rsid w:val="00E51AB7"/>
    <w:rsid w:val="00ED76A6"/>
    <w:rsid w:val="00F46A11"/>
    <w:rsid w:val="00FB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371A8"/>
  <w15:docId w15:val="{B035E1E7-C193-49B4-AA58-110A6BAA8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FollowedHyperlink">
    <w:name w:val="FollowedHyperlink"/>
    <w:basedOn w:val="DefaultParagraphFont"/>
    <w:uiPriority w:val="99"/>
    <w:semiHidden/>
    <w:unhideWhenUsed/>
    <w:rsid w:val="003243D4"/>
    <w:rPr>
      <w:color w:val="96607D" w:themeColor="followedHyperlink"/>
      <w:u w:val="single"/>
    </w:rPr>
  </w:style>
  <w:style w:type="character" w:styleId="UnresolvedMention">
    <w:name w:val="Unresolved Mention"/>
    <w:basedOn w:val="DefaultParagraphFont"/>
    <w:uiPriority w:val="99"/>
    <w:semiHidden/>
    <w:unhideWhenUsed/>
    <w:rsid w:val="001F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abt.org/Two-Year-College-Section-Guidelin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apt.org/Resources/upload/TYCGuidelines-PDF.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s.org/content/dam/acsorg/education/policies/twoyearcollege/2015_guidelines_for_two_year_college_prorgrams.pdf" TargetMode="External"/><Relationship Id="rId11" Type="http://schemas.openxmlformats.org/officeDocument/2006/relationships/hyperlink" Target="https://www.cupahr.org/surveys/research-briefs/representation-and-pay-equity-in-higher-ed-faculty-trends-april-2024/" TargetMode="External"/><Relationship Id="rId5" Type="http://schemas.openxmlformats.org/officeDocument/2006/relationships/hyperlink" Target="https://www.asccc.org/resolutions/laboratory-faculty-and-college-governance" TargetMode="External"/><Relationship Id="rId10" Type="http://schemas.openxmlformats.org/officeDocument/2006/relationships/hyperlink" Target="https://govt.westlaw.com/calregs/Document/I604256434C6911EC93A8000D3A7C4BC3" TargetMode="External"/><Relationship Id="rId4" Type="http://schemas.openxmlformats.org/officeDocument/2006/relationships/webSettings" Target="webSettings.xml"/><Relationship Id="rId9" Type="http://schemas.openxmlformats.org/officeDocument/2006/relationships/hyperlink" Target="https://www.asccc.org/resolutions/career-technical-education-and-laboratoryactivity-faculty-and-college-gover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6e17ab0-d9c7-43e4-b85d-f29d7eca34a3}" enabled="1" method="Standard" siteId="{f6bb5689-1cd5-404a-b451-f35991b30e09}"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817</Words>
  <Characters>4658</Characters>
  <Application>Microsoft Office Word</Application>
  <DocSecurity>0</DocSecurity>
  <Lines>38</Lines>
  <Paragraphs>10</Paragraphs>
  <ScaleCrop>false</ScaleCrop>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Francisco, Gonzalez</cp:lastModifiedBy>
  <cp:revision>2</cp:revision>
  <dcterms:created xsi:type="dcterms:W3CDTF">2026-02-25T23:14:00Z</dcterms:created>
  <dcterms:modified xsi:type="dcterms:W3CDTF">2026-02-25T23:14:00Z</dcterms:modified>
</cp:coreProperties>
</file>