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2100" w14:textId="77777777" w:rsidR="00461E69" w:rsidRPr="00461E69" w:rsidRDefault="00461E69" w:rsidP="00461E69">
      <w:pPr>
        <w:rPr>
          <w:rFonts w:ascii="Mangal Pro" w:hAnsi="Mangal Pro" w:cs="Mangal Pro"/>
        </w:rPr>
      </w:pPr>
      <w:r w:rsidRPr="00461E69">
        <w:rPr>
          <w:rFonts w:ascii="Mangal Pro" w:hAnsi="Mangal Pro" w:cs="Mangal Pro"/>
          <w:b/>
          <w:bCs/>
        </w:rPr>
        <w:t>Student Success Advisory Committee Report</w:t>
      </w:r>
    </w:p>
    <w:p w14:paraId="0A44C4DC" w14:textId="77777777" w:rsidR="00461E69" w:rsidRPr="00461E69" w:rsidRDefault="00461E69" w:rsidP="00461E69">
      <w:pPr>
        <w:rPr>
          <w:rFonts w:ascii="Mangal Pro" w:hAnsi="Mangal Pro" w:cs="Mangal Pro"/>
        </w:rPr>
      </w:pPr>
      <w:r w:rsidRPr="00461E69">
        <w:rPr>
          <w:rFonts w:ascii="Mangal Pro" w:hAnsi="Mangal Pro" w:cs="Mangal Pro"/>
          <w:b/>
          <w:bCs/>
        </w:rPr>
        <w:t>Academic Senate Presentation – March 4, 2026</w:t>
      </w:r>
    </w:p>
    <w:p w14:paraId="0B40E6D2" w14:textId="77777777" w:rsidR="00461E69" w:rsidRPr="00461E69" w:rsidRDefault="00461E69" w:rsidP="00461E69">
      <w:pPr>
        <w:rPr>
          <w:rFonts w:ascii="Mangal Pro" w:hAnsi="Mangal Pro" w:cs="Mangal Pro"/>
        </w:rPr>
      </w:pPr>
      <w:r w:rsidRPr="00461E69">
        <w:rPr>
          <w:rFonts w:ascii="Mangal Pro" w:hAnsi="Mangal Pro" w:cs="Mangal Pro"/>
          <w:b/>
          <w:bCs/>
        </w:rPr>
        <w:t>Committee Focus</w:t>
      </w:r>
    </w:p>
    <w:p w14:paraId="53E3B0EC" w14:textId="77777777" w:rsidR="00461E69" w:rsidRPr="00461E69" w:rsidRDefault="00461E69" w:rsidP="00461E69">
      <w:p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>The Student Success Advisory Committee continues its work toward reducing equity gaps across the five metrics identified in the Student Equity Plan. A key component of the plan includes gathering direct student feedback to inform improvements in academic and support services.</w:t>
      </w:r>
    </w:p>
    <w:p w14:paraId="61073522" w14:textId="77777777" w:rsidR="00461E69" w:rsidRPr="00461E69" w:rsidRDefault="00461E69" w:rsidP="00461E69">
      <w:pPr>
        <w:rPr>
          <w:rFonts w:ascii="Mangal Pro" w:hAnsi="Mangal Pro" w:cs="Mangal Pro"/>
        </w:rPr>
      </w:pPr>
      <w:r w:rsidRPr="00461E69">
        <w:rPr>
          <w:rFonts w:ascii="Mangal Pro" w:hAnsi="Mangal Pro" w:cs="Mangal Pro"/>
          <w:b/>
          <w:bCs/>
        </w:rPr>
        <w:t>Student Forums: Implementation and Outcomes</w:t>
      </w:r>
    </w:p>
    <w:p w14:paraId="6C8E4CAA" w14:textId="77777777" w:rsidR="00461E69" w:rsidRPr="00461E69" w:rsidRDefault="00461E69" w:rsidP="00461E69">
      <w:pPr>
        <w:rPr>
          <w:rFonts w:ascii="Mangal Pro" w:hAnsi="Mangal Pro" w:cs="Mangal Pro"/>
        </w:rPr>
      </w:pPr>
      <w:r w:rsidRPr="00461E69">
        <w:rPr>
          <w:rFonts w:ascii="Mangal Pro" w:hAnsi="Mangal Pro" w:cs="Mangal Pro"/>
          <w:b/>
          <w:bCs/>
        </w:rPr>
        <w:t>Planned Engagement</w:t>
      </w:r>
    </w:p>
    <w:p w14:paraId="2A200481" w14:textId="77777777" w:rsidR="00461E69" w:rsidRPr="00461E69" w:rsidRDefault="00461E69" w:rsidP="00461E69">
      <w:pPr>
        <w:numPr>
          <w:ilvl w:val="0"/>
          <w:numId w:val="1"/>
        </w:num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>Four student forums were scheduled for Math and English students to better understand their classroom experiences and identify opportunities for enhanced support.</w:t>
      </w:r>
    </w:p>
    <w:p w14:paraId="29598E53" w14:textId="77777777" w:rsidR="00461E69" w:rsidRPr="00461E69" w:rsidRDefault="00461E69" w:rsidP="00461E69">
      <w:pPr>
        <w:numPr>
          <w:ilvl w:val="0"/>
          <w:numId w:val="1"/>
        </w:num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>Sessions were offered in both in</w:t>
      </w:r>
      <w:r w:rsidRPr="00461E69">
        <w:rPr>
          <w:rFonts w:ascii="Mangal Pro" w:hAnsi="Mangal Pro" w:cs="Mangal Pro"/>
        </w:rPr>
        <w:noBreakHyphen/>
        <w:t>person and online formats to increase accessibility.</w:t>
      </w:r>
    </w:p>
    <w:p w14:paraId="6BB5C83D" w14:textId="77777777" w:rsidR="00461E69" w:rsidRPr="00461E69" w:rsidRDefault="00461E69" w:rsidP="00461E69">
      <w:pPr>
        <w:rPr>
          <w:rFonts w:ascii="Mangal Pro" w:hAnsi="Mangal Pro" w:cs="Mangal Pro"/>
        </w:rPr>
      </w:pPr>
      <w:r w:rsidRPr="00461E69">
        <w:rPr>
          <w:rFonts w:ascii="Mangal Pro" w:hAnsi="Mangal Pro" w:cs="Mangal Pro"/>
          <w:b/>
          <w:bCs/>
        </w:rPr>
        <w:t>Attendance Challenges</w:t>
      </w:r>
    </w:p>
    <w:p w14:paraId="37CFADF1" w14:textId="77777777" w:rsidR="00461E69" w:rsidRPr="00461E69" w:rsidRDefault="00461E69" w:rsidP="00461E69">
      <w:pPr>
        <w:numPr>
          <w:ilvl w:val="0"/>
          <w:numId w:val="2"/>
        </w:num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>No students attended any of the scheduled sessions, including the online options.</w:t>
      </w:r>
    </w:p>
    <w:p w14:paraId="04410B24" w14:textId="27E037F8" w:rsidR="00461E69" w:rsidRPr="00461E69" w:rsidRDefault="00461E69" w:rsidP="00461E69">
      <w:pPr>
        <w:numPr>
          <w:ilvl w:val="0"/>
          <w:numId w:val="2"/>
        </w:num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>The lack of participation limits the committee’s ability to gather meaningful student</w:t>
      </w:r>
      <w:r w:rsidRPr="00461E69">
        <w:rPr>
          <w:rFonts w:ascii="Mangal Pro" w:hAnsi="Mangal Pro" w:cs="Mangal Pro"/>
        </w:rPr>
        <w:t xml:space="preserve"> </w:t>
      </w:r>
      <w:r w:rsidRPr="00461E69">
        <w:rPr>
          <w:rFonts w:ascii="Mangal Pro" w:hAnsi="Mangal Pro" w:cs="Mangal Pro"/>
        </w:rPr>
        <w:t>input at this stag</w:t>
      </w:r>
      <w:r w:rsidRPr="00461E69">
        <w:rPr>
          <w:rFonts w:ascii="Mangal Pro" w:hAnsi="Mangal Pro" w:cs="Mangal Pro"/>
        </w:rPr>
        <w:t>e.</w:t>
      </w:r>
    </w:p>
    <w:p w14:paraId="5A79B209" w14:textId="77777777" w:rsidR="00461E69" w:rsidRPr="00461E69" w:rsidRDefault="00461E69" w:rsidP="00461E69">
      <w:pPr>
        <w:rPr>
          <w:rFonts w:ascii="Mangal Pro" w:hAnsi="Mangal Pro" w:cs="Mangal Pro"/>
        </w:rPr>
      </w:pPr>
      <w:r w:rsidRPr="00461E69">
        <w:rPr>
          <w:rFonts w:ascii="Mangal Pro" w:hAnsi="Mangal Pro" w:cs="Mangal Pro"/>
          <w:b/>
          <w:bCs/>
        </w:rPr>
        <w:t>Upcoming Sessions</w:t>
      </w:r>
    </w:p>
    <w:p w14:paraId="09AFE68E" w14:textId="77777777" w:rsidR="00461E69" w:rsidRPr="00461E69" w:rsidRDefault="00461E69" w:rsidP="00461E69">
      <w:pPr>
        <w:numPr>
          <w:ilvl w:val="0"/>
          <w:numId w:val="3"/>
        </w:num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 xml:space="preserve">Two additional forums are scheduled for </w:t>
      </w:r>
      <w:r w:rsidRPr="00461E69">
        <w:rPr>
          <w:rFonts w:ascii="Mangal Pro" w:hAnsi="Mangal Pro" w:cs="Mangal Pro"/>
          <w:b/>
          <w:bCs/>
        </w:rPr>
        <w:t>March 11, 2026</w:t>
      </w:r>
      <w:r w:rsidRPr="00461E69">
        <w:rPr>
          <w:rFonts w:ascii="Mangal Pro" w:hAnsi="Mangal Pro" w:cs="Mangal Pro"/>
        </w:rPr>
        <w:t>.</w:t>
      </w:r>
    </w:p>
    <w:p w14:paraId="3C2C7C8D" w14:textId="77777777" w:rsidR="00461E69" w:rsidRPr="00461E69" w:rsidRDefault="00461E69" w:rsidP="00461E69">
      <w:pPr>
        <w:numPr>
          <w:ilvl w:val="0"/>
          <w:numId w:val="3"/>
        </w:num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>The committee intends to collaborate more closely with the Math and English departments to promote these sessions and encourage student attendance.</w:t>
      </w:r>
    </w:p>
    <w:p w14:paraId="11B2F216" w14:textId="77777777" w:rsidR="00461E69" w:rsidRPr="00461E69" w:rsidRDefault="00461E69" w:rsidP="00461E69">
      <w:pPr>
        <w:rPr>
          <w:rFonts w:ascii="Mangal Pro" w:hAnsi="Mangal Pro" w:cs="Mangal Pro"/>
        </w:rPr>
      </w:pPr>
      <w:r w:rsidRPr="00461E69">
        <w:rPr>
          <w:rFonts w:ascii="Mangal Pro" w:hAnsi="Mangal Pro" w:cs="Mangal Pro"/>
          <w:b/>
          <w:bCs/>
        </w:rPr>
        <w:t>Next Steps</w:t>
      </w:r>
    </w:p>
    <w:p w14:paraId="18FDE6B3" w14:textId="77777777" w:rsidR="00461E69" w:rsidRPr="00461E69" w:rsidRDefault="00461E69" w:rsidP="00461E69">
      <w:pPr>
        <w:rPr>
          <w:rFonts w:ascii="Mangal Pro" w:hAnsi="Mangal Pro" w:cs="Mangal Pro"/>
        </w:rPr>
      </w:pPr>
      <w:r w:rsidRPr="00461E69">
        <w:rPr>
          <w:rFonts w:ascii="Mangal Pro" w:hAnsi="Mangal Pro" w:cs="Mangal Pro"/>
          <w:b/>
          <w:bCs/>
        </w:rPr>
        <w:t>Reassessment of Outreach Strategies</w:t>
      </w:r>
    </w:p>
    <w:p w14:paraId="5F88170D" w14:textId="77777777" w:rsidR="00461E69" w:rsidRPr="00461E69" w:rsidRDefault="00461E69" w:rsidP="00461E69">
      <w:p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lastRenderedPageBreak/>
        <w:t>The committee will reconvene to evaluate alternative approaches to student engagement, including:</w:t>
      </w:r>
    </w:p>
    <w:p w14:paraId="02E92624" w14:textId="77777777" w:rsidR="00461E69" w:rsidRPr="00461E69" w:rsidRDefault="00461E69" w:rsidP="00461E69">
      <w:pPr>
        <w:numPr>
          <w:ilvl w:val="0"/>
          <w:numId w:val="4"/>
        </w:num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>Exploring additional communication channels</w:t>
      </w:r>
    </w:p>
    <w:p w14:paraId="4568F371" w14:textId="77777777" w:rsidR="00461E69" w:rsidRPr="00461E69" w:rsidRDefault="00461E69" w:rsidP="00461E69">
      <w:pPr>
        <w:numPr>
          <w:ilvl w:val="0"/>
          <w:numId w:val="4"/>
        </w:num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>Adjusting session times and formats</w:t>
      </w:r>
    </w:p>
    <w:p w14:paraId="66501104" w14:textId="77777777" w:rsidR="00461E69" w:rsidRPr="00461E69" w:rsidRDefault="00461E69" w:rsidP="00461E69">
      <w:pPr>
        <w:numPr>
          <w:ilvl w:val="0"/>
          <w:numId w:val="4"/>
        </w:num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>Partnering with faculty for in</w:t>
      </w:r>
      <w:r w:rsidRPr="00461E69">
        <w:rPr>
          <w:rFonts w:ascii="Mangal Pro" w:hAnsi="Mangal Pro" w:cs="Mangal Pro"/>
        </w:rPr>
        <w:noBreakHyphen/>
        <w:t>class promotion</w:t>
      </w:r>
    </w:p>
    <w:p w14:paraId="4C253D7C" w14:textId="77777777" w:rsidR="00461E69" w:rsidRDefault="00461E69" w:rsidP="00461E69">
      <w:pPr>
        <w:numPr>
          <w:ilvl w:val="0"/>
          <w:numId w:val="4"/>
        </w:numPr>
        <w:spacing w:line="240" w:lineRule="auto"/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>Considering incentives or embedded feedback opportunities</w:t>
      </w:r>
    </w:p>
    <w:p w14:paraId="77766D92" w14:textId="77777777" w:rsidR="00461E69" w:rsidRDefault="00461E69" w:rsidP="00461E69">
      <w:pPr>
        <w:ind w:left="720"/>
        <w:rPr>
          <w:rFonts w:ascii="Mangal Pro" w:hAnsi="Mangal Pro" w:cs="Mangal Pro"/>
          <w:b/>
          <w:bCs/>
        </w:rPr>
      </w:pPr>
    </w:p>
    <w:p w14:paraId="2DEAA410" w14:textId="4B4D81B9" w:rsidR="00461E69" w:rsidRPr="00461E69" w:rsidRDefault="00461E69" w:rsidP="00461E69">
      <w:pPr>
        <w:ind w:left="720"/>
        <w:rPr>
          <w:rFonts w:ascii="Mangal Pro" w:hAnsi="Mangal Pro" w:cs="Mangal Pro"/>
        </w:rPr>
      </w:pPr>
      <w:r w:rsidRPr="00461E69">
        <w:rPr>
          <w:rFonts w:ascii="Mangal Pro" w:hAnsi="Mangal Pro" w:cs="Mangal Pro"/>
          <w:b/>
          <w:bCs/>
        </w:rPr>
        <w:t>Commitment to Student Voice</w:t>
      </w:r>
    </w:p>
    <w:p w14:paraId="1DA4BCCD" w14:textId="3194CBE7" w:rsidR="00461E69" w:rsidRPr="00461E69" w:rsidRDefault="00461E69" w:rsidP="00461E69">
      <w:pPr>
        <w:pStyle w:val="NormalWeb"/>
        <w:numPr>
          <w:ilvl w:val="0"/>
          <w:numId w:val="4"/>
        </w:numPr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 xml:space="preserve">The committee remains committed to elevating student perspectives to inform improvements in services and </w:t>
      </w:r>
      <w:r w:rsidRPr="00461E69">
        <w:rPr>
          <w:rFonts w:ascii="Mangal Pro" w:hAnsi="Mangal Pro" w:cs="Mangal Pro"/>
        </w:rPr>
        <w:t>support</w:t>
      </w:r>
      <w:r w:rsidRPr="00461E69">
        <w:rPr>
          <w:rFonts w:ascii="Mangal Pro" w:hAnsi="Mangal Pro" w:cs="Mangal Pro"/>
        </w:rPr>
        <w:t>, where appropriate, to advance equitable student success.</w:t>
      </w:r>
    </w:p>
    <w:p w14:paraId="42E44C3C" w14:textId="77777777" w:rsidR="00461E69" w:rsidRDefault="00461E69" w:rsidP="00461E69">
      <w:pPr>
        <w:pStyle w:val="NormalWeb"/>
        <w:ind w:left="720"/>
        <w:contextualSpacing/>
        <w:rPr>
          <w:rStyle w:val="Strong"/>
          <w:rFonts w:ascii="Mangal Pro" w:eastAsiaTheme="majorEastAsia" w:hAnsi="Mangal Pro" w:cs="Mangal Pro"/>
        </w:rPr>
      </w:pPr>
    </w:p>
    <w:p w14:paraId="53EBC6C9" w14:textId="345F30EA" w:rsidR="00461E69" w:rsidRPr="00461E69" w:rsidRDefault="00461E69" w:rsidP="00461E69">
      <w:pPr>
        <w:pStyle w:val="NormalWeb"/>
        <w:ind w:left="720"/>
        <w:contextualSpacing/>
        <w:rPr>
          <w:rFonts w:ascii="Mangal Pro" w:hAnsi="Mangal Pro" w:cs="Mangal Pro"/>
        </w:rPr>
      </w:pPr>
      <w:r w:rsidRPr="00461E69">
        <w:rPr>
          <w:rStyle w:val="Strong"/>
          <w:rFonts w:ascii="Mangal Pro" w:eastAsiaTheme="majorEastAsia" w:hAnsi="Mangal Pro" w:cs="Mangal Pro"/>
        </w:rPr>
        <w:t>Valley Up Initiative</w:t>
      </w:r>
    </w:p>
    <w:p w14:paraId="1735DD58" w14:textId="77777777" w:rsidR="00461E69" w:rsidRPr="00461E69" w:rsidRDefault="00461E69" w:rsidP="00461E69">
      <w:pPr>
        <w:pStyle w:val="NormalWeb"/>
        <w:numPr>
          <w:ilvl w:val="0"/>
          <w:numId w:val="4"/>
        </w:numPr>
        <w:contextualSpacing/>
        <w:rPr>
          <w:rFonts w:ascii="Mangal Pro" w:hAnsi="Mangal Pro" w:cs="Mangal Pro"/>
        </w:rPr>
      </w:pPr>
      <w:r w:rsidRPr="00461E69">
        <w:rPr>
          <w:rFonts w:ascii="Mangal Pro" w:hAnsi="Mangal Pro" w:cs="Mangal Pro"/>
        </w:rPr>
        <w:t xml:space="preserve">The Vice President of Student Services provided an update on the </w:t>
      </w:r>
      <w:r w:rsidRPr="00461E69">
        <w:rPr>
          <w:rStyle w:val="Strong"/>
          <w:rFonts w:ascii="Mangal Pro" w:eastAsiaTheme="majorEastAsia" w:hAnsi="Mangal Pro" w:cs="Mangal Pro"/>
        </w:rPr>
        <w:t>Valley Up Initiative</w:t>
      </w:r>
      <w:r w:rsidRPr="00461E69">
        <w:rPr>
          <w:rFonts w:ascii="Mangal Pro" w:hAnsi="Mangal Pro" w:cs="Mangal Pro"/>
        </w:rPr>
        <w:t>. After review and discussion, the committee expressed full support and formally approved the initiative.</w:t>
      </w:r>
    </w:p>
    <w:p w14:paraId="4C9EA40F" w14:textId="77777777" w:rsidR="00454CAD" w:rsidRDefault="00454CAD"/>
    <w:sectPr w:rsidR="00454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A81"/>
    <w:multiLevelType w:val="multilevel"/>
    <w:tmpl w:val="C51E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B6349"/>
    <w:multiLevelType w:val="multilevel"/>
    <w:tmpl w:val="7C38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B57A7"/>
    <w:multiLevelType w:val="multilevel"/>
    <w:tmpl w:val="B16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C290B"/>
    <w:multiLevelType w:val="multilevel"/>
    <w:tmpl w:val="7ACE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600544">
    <w:abstractNumId w:val="1"/>
  </w:num>
  <w:num w:numId="2" w16cid:durableId="449131145">
    <w:abstractNumId w:val="0"/>
  </w:num>
  <w:num w:numId="3" w16cid:durableId="1436942661">
    <w:abstractNumId w:val="3"/>
  </w:num>
  <w:num w:numId="4" w16cid:durableId="21713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69"/>
    <w:rsid w:val="002A4159"/>
    <w:rsid w:val="002E7193"/>
    <w:rsid w:val="00354E32"/>
    <w:rsid w:val="00454CAD"/>
    <w:rsid w:val="00461E69"/>
    <w:rsid w:val="007B57BC"/>
    <w:rsid w:val="008A68C8"/>
    <w:rsid w:val="008C5E1B"/>
    <w:rsid w:val="00A75BE5"/>
    <w:rsid w:val="00C1113A"/>
    <w:rsid w:val="00E820F9"/>
    <w:rsid w:val="00E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DCC1"/>
  <w15:chartTrackingRefBased/>
  <w15:docId w15:val="{677A569B-99E1-486F-BF49-806E8BCA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E6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1E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1602</Characters>
  <Application>Microsoft Office Word</Application>
  <DocSecurity>0</DocSecurity>
  <Lines>45</Lines>
  <Paragraphs>26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Maria Del Carmen</dc:creator>
  <cp:keywords/>
  <dc:description/>
  <cp:lastModifiedBy>Rodriguez, Maria Del Carmen</cp:lastModifiedBy>
  <cp:revision>1</cp:revision>
  <dcterms:created xsi:type="dcterms:W3CDTF">2026-03-01T22:57:00Z</dcterms:created>
  <dcterms:modified xsi:type="dcterms:W3CDTF">2026-03-01T23:03:00Z</dcterms:modified>
</cp:coreProperties>
</file>