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D1D01" w14:textId="39634478" w:rsidR="00F5344D" w:rsidRDefault="00F5344D" w:rsidP="00C85C4A">
      <w:pPr>
        <w:jc w:val="center"/>
        <w:rPr>
          <w:b/>
          <w:bCs/>
        </w:rPr>
      </w:pPr>
      <w:r w:rsidRPr="00F5344D">
        <w:rPr>
          <w:b/>
          <w:bCs/>
        </w:rPr>
        <w:t>Committee Assignment Process</w:t>
      </w:r>
    </w:p>
    <w:p w14:paraId="15A50291" w14:textId="77777777" w:rsidR="00825D73" w:rsidRPr="00F5344D" w:rsidRDefault="00825D73" w:rsidP="00C85C4A">
      <w:pPr>
        <w:jc w:val="center"/>
        <w:rPr>
          <w:b/>
          <w:bCs/>
        </w:rPr>
      </w:pPr>
    </w:p>
    <w:p w14:paraId="462382CB" w14:textId="20A0AAB7" w:rsidR="00882CD9" w:rsidRDefault="00882CD9" w:rsidP="00F5344D">
      <w:r>
        <w:t>This process applies to faculty committee assignments for both Academic Senate committees and College Council committees.</w:t>
      </w:r>
    </w:p>
    <w:p w14:paraId="5B8EBA6E" w14:textId="791217AF" w:rsidR="00F5344D" w:rsidRPr="00F5344D" w:rsidRDefault="00F5344D" w:rsidP="00F5344D">
      <w:r w:rsidRPr="00F5344D">
        <w:t>1. Academic Senate Personnel Policy Committee Meeting</w:t>
      </w:r>
    </w:p>
    <w:p w14:paraId="2B96CA6A" w14:textId="77777777" w:rsidR="00BD415A" w:rsidRDefault="00BD415A" w:rsidP="00BD415A">
      <w:pPr>
        <w:pStyle w:val="ListParagraph"/>
        <w:numPr>
          <w:ilvl w:val="0"/>
          <w:numId w:val="45"/>
        </w:numPr>
      </w:pPr>
      <w:r>
        <w:t>Academic Senate Personnel Policy Subcommittee meets to verify that all committee meeting schedules and assignment process deadlines are accurate before sending to division point persons.</w:t>
      </w:r>
    </w:p>
    <w:p w14:paraId="588B6CDE" w14:textId="77777777" w:rsidR="00F5344D" w:rsidRPr="00F5344D" w:rsidRDefault="00F5344D" w:rsidP="00F5344D">
      <w:r w:rsidRPr="00F5344D">
        <w:t>2. Selection of Division Point Persons</w:t>
      </w:r>
    </w:p>
    <w:p w14:paraId="77DC5ED5" w14:textId="77777777" w:rsidR="00F5344D" w:rsidRDefault="00F5344D" w:rsidP="00C85C4A">
      <w:pPr>
        <w:pStyle w:val="ListParagraph"/>
        <w:numPr>
          <w:ilvl w:val="0"/>
          <w:numId w:val="45"/>
        </w:numPr>
      </w:pPr>
      <w:r w:rsidRPr="00F5344D">
        <w:t>Personnel Policy Committee selects 1–2 division representatives from its membership to serve as point persons for coordinating committee assignments within each division.</w:t>
      </w:r>
    </w:p>
    <w:p w14:paraId="5C2EF794" w14:textId="77777777" w:rsidR="00F5344D" w:rsidRPr="00F5344D" w:rsidRDefault="00F5344D" w:rsidP="00F5344D">
      <w:r w:rsidRPr="00F5344D">
        <w:t>3. Distribution of Committee Information</w:t>
      </w:r>
    </w:p>
    <w:p w14:paraId="10DCDFAE" w14:textId="6F105C93" w:rsidR="00F5344D" w:rsidRDefault="00F5344D" w:rsidP="00C85C4A">
      <w:pPr>
        <w:pStyle w:val="ListParagraph"/>
        <w:numPr>
          <w:ilvl w:val="0"/>
          <w:numId w:val="45"/>
        </w:numPr>
      </w:pPr>
      <w:r w:rsidRPr="00F5344D">
        <w:t xml:space="preserve">Personnel Policy Committee Lead distributes an Excel spreadsheet to division point </w:t>
      </w:r>
      <w:r w:rsidR="00C85C4A" w:rsidRPr="00F5344D">
        <w:t>people</w:t>
      </w:r>
      <w:r w:rsidRPr="00F5344D">
        <w:t>, listing all committee meeting days, times, and faculty requirements.</w:t>
      </w:r>
    </w:p>
    <w:p w14:paraId="6FE70368" w14:textId="77777777" w:rsidR="0025252B" w:rsidRPr="00F5344D" w:rsidRDefault="0025252B" w:rsidP="0025252B">
      <w:pPr>
        <w:pStyle w:val="ListParagraph"/>
        <w:numPr>
          <w:ilvl w:val="1"/>
          <w:numId w:val="45"/>
        </w:numPr>
      </w:pPr>
      <w:r>
        <w:t>CC Academic Senate President</w:t>
      </w:r>
    </w:p>
    <w:p w14:paraId="20F4F1A5" w14:textId="39B9232C" w:rsidR="0025252B" w:rsidRPr="00F5344D" w:rsidRDefault="000B3678" w:rsidP="0025252B">
      <w:pPr>
        <w:pStyle w:val="ListParagraph"/>
        <w:numPr>
          <w:ilvl w:val="1"/>
          <w:numId w:val="45"/>
        </w:numPr>
      </w:pPr>
      <w:r>
        <w:t>CC Dean</w:t>
      </w:r>
    </w:p>
    <w:p w14:paraId="7B276E09" w14:textId="77777777" w:rsidR="00C85C4A" w:rsidRDefault="00F5344D" w:rsidP="00C85C4A">
      <w:pPr>
        <w:pStyle w:val="ListParagraph"/>
        <w:numPr>
          <w:ilvl w:val="0"/>
          <w:numId w:val="45"/>
        </w:numPr>
      </w:pPr>
      <w:r w:rsidRPr="00F5344D">
        <w:t>Division Faculty Requirements:</w:t>
      </w:r>
    </w:p>
    <w:p w14:paraId="72B7373E" w14:textId="694C2956" w:rsidR="00C85C4A" w:rsidRPr="00C85C4A" w:rsidRDefault="00F5344D" w:rsidP="00C85C4A">
      <w:pPr>
        <w:pStyle w:val="ListParagraph"/>
        <w:numPr>
          <w:ilvl w:val="1"/>
          <w:numId w:val="45"/>
        </w:numPr>
      </w:pPr>
      <w:r w:rsidRPr="00C85C4A">
        <w:rPr>
          <w:i/>
          <w:iCs/>
        </w:rPr>
        <w:t>At least 10% of full-time faculty per division</w:t>
      </w:r>
      <w:r w:rsidR="00F959C6">
        <w:rPr>
          <w:i/>
          <w:iCs/>
        </w:rPr>
        <w:t xml:space="preserve"> </w:t>
      </w:r>
      <w:r w:rsidR="00F959C6" w:rsidRPr="00825D73">
        <w:rPr>
          <w:i/>
          <w:iCs/>
        </w:rPr>
        <w:t>(Curriculum and Program Review)</w:t>
      </w:r>
    </w:p>
    <w:p w14:paraId="1F69CFAE" w14:textId="1861D03D" w:rsidR="00C85C4A" w:rsidRPr="00625442" w:rsidRDefault="00F5344D" w:rsidP="00F5344D">
      <w:pPr>
        <w:pStyle w:val="ListParagraph"/>
        <w:numPr>
          <w:ilvl w:val="1"/>
          <w:numId w:val="45"/>
        </w:numPr>
        <w:rPr>
          <w:i/>
          <w:iCs/>
        </w:rPr>
      </w:pPr>
      <w:r w:rsidRPr="00F5344D">
        <w:t>At least 1 full-time faculty member per division</w:t>
      </w:r>
      <w:r w:rsidR="00F959C6">
        <w:t xml:space="preserve"> </w:t>
      </w:r>
      <w:r w:rsidR="00F959C6" w:rsidRPr="00825D73">
        <w:rPr>
          <w:i/>
          <w:iCs/>
        </w:rPr>
        <w:t>(</w:t>
      </w:r>
      <w:r w:rsidR="00480A53" w:rsidRPr="00825D73">
        <w:rPr>
          <w:i/>
          <w:iCs/>
        </w:rPr>
        <w:t xml:space="preserve">Accreditation) </w:t>
      </w:r>
    </w:p>
    <w:p w14:paraId="76561AC4" w14:textId="172E166E" w:rsidR="00C85C4A" w:rsidRPr="00825D73" w:rsidRDefault="003E5683" w:rsidP="00F5344D">
      <w:pPr>
        <w:pStyle w:val="ListParagraph"/>
        <w:numPr>
          <w:ilvl w:val="1"/>
          <w:numId w:val="45"/>
        </w:numPr>
      </w:pPr>
      <w:r w:rsidRPr="00825D73">
        <w:rPr>
          <w:i/>
          <w:iCs/>
        </w:rPr>
        <w:t>When</w:t>
      </w:r>
      <w:r w:rsidR="00C85C4A" w:rsidRPr="00825D73">
        <w:rPr>
          <w:i/>
          <w:iCs/>
        </w:rPr>
        <w:t xml:space="preserve"> </w:t>
      </w:r>
      <w:r w:rsidR="00EF66F4" w:rsidRPr="00825D73">
        <w:rPr>
          <w:i/>
          <w:iCs/>
        </w:rPr>
        <w:t>determining</w:t>
      </w:r>
      <w:r w:rsidR="00C85C4A" w:rsidRPr="00825D73">
        <w:rPr>
          <w:i/>
          <w:iCs/>
        </w:rPr>
        <w:t xml:space="preserve"> division membership for representation </w:t>
      </w:r>
      <w:proofErr w:type="gramStart"/>
      <w:r w:rsidR="00C85C4A" w:rsidRPr="00825D73">
        <w:rPr>
          <w:i/>
          <w:iCs/>
        </w:rPr>
        <w:t>on</w:t>
      </w:r>
      <w:proofErr w:type="gramEnd"/>
      <w:r w:rsidR="00C85C4A" w:rsidRPr="00825D73">
        <w:rPr>
          <w:i/>
          <w:iCs/>
        </w:rPr>
        <w:t xml:space="preserve"> the Academic Senate, each major fraction of five (three</w:t>
      </w:r>
      <w:r w:rsidR="00FB0A9E" w:rsidRPr="00825D73">
        <w:rPr>
          <w:i/>
          <w:iCs/>
        </w:rPr>
        <w:t xml:space="preserve"> and above</w:t>
      </w:r>
      <w:r w:rsidR="00C85C4A" w:rsidRPr="00825D73">
        <w:rPr>
          <w:i/>
          <w:iCs/>
        </w:rPr>
        <w:t>) will entitle a division to an additional representative.</w:t>
      </w:r>
      <w:r w:rsidR="00E44BA1" w:rsidRPr="00825D73">
        <w:rPr>
          <w:i/>
          <w:iCs/>
        </w:rPr>
        <w:t xml:space="preserve"> </w:t>
      </w:r>
      <w:r w:rsidR="00695D37" w:rsidRPr="00825D73">
        <w:rPr>
          <w:i/>
          <w:iCs/>
        </w:rPr>
        <w:t>Each division shall be entitled to at least one (1) representative.</w:t>
      </w:r>
      <w:r w:rsidR="00030CCF" w:rsidRPr="00825D73">
        <w:t xml:space="preserve"> (Academic Senate)</w:t>
      </w:r>
    </w:p>
    <w:p w14:paraId="77199F80" w14:textId="7903E74A" w:rsidR="004909C2" w:rsidRPr="000B106A" w:rsidRDefault="004909C2" w:rsidP="004909C2">
      <w:pPr>
        <w:pStyle w:val="ListParagraph"/>
        <w:numPr>
          <w:ilvl w:val="1"/>
          <w:numId w:val="45"/>
        </w:numPr>
        <w:rPr>
          <w:color w:val="EE0000"/>
        </w:rPr>
      </w:pPr>
      <w:r w:rsidRPr="00825D73">
        <w:rPr>
          <w:b/>
          <w:bCs/>
        </w:rPr>
        <w:t xml:space="preserve">Note: </w:t>
      </w:r>
      <w:r w:rsidRPr="00825D73">
        <w:t xml:space="preserve">Academic Senate committee assignments operate on a 3-year cycle with staggered terms, while </w:t>
      </w:r>
      <w:r>
        <w:t>other committees operate on a 2-year cycle.</w:t>
      </w:r>
      <w:r w:rsidR="00480A53">
        <w:rPr>
          <w:color w:val="EE0000"/>
        </w:rPr>
        <w:t xml:space="preserve"> </w:t>
      </w:r>
    </w:p>
    <w:p w14:paraId="73FD5A32" w14:textId="39511317" w:rsidR="00F5344D" w:rsidRPr="00F5344D" w:rsidRDefault="00F5344D" w:rsidP="00C85C4A">
      <w:r w:rsidRPr="00F5344D">
        <w:t>4. Division-Level Assignment Meetings</w:t>
      </w:r>
    </w:p>
    <w:p w14:paraId="597A3576" w14:textId="77777777" w:rsidR="00F5344D" w:rsidRDefault="00F5344D" w:rsidP="00C85C4A">
      <w:pPr>
        <w:pStyle w:val="ListParagraph"/>
        <w:numPr>
          <w:ilvl w:val="0"/>
          <w:numId w:val="46"/>
        </w:numPr>
      </w:pPr>
      <w:r w:rsidRPr="00F5344D">
        <w:t>Division point persons schedule a division meeting to review committee needs and collaboratively determine faculty assignments while ensuring bylaw compliance and division representation rules are met.</w:t>
      </w:r>
    </w:p>
    <w:p w14:paraId="41A2B611" w14:textId="6C603A06" w:rsidR="00734406" w:rsidRPr="00F5344D" w:rsidRDefault="00E45483" w:rsidP="00BF7331">
      <w:pPr>
        <w:pStyle w:val="ListParagraph"/>
        <w:numPr>
          <w:ilvl w:val="0"/>
          <w:numId w:val="46"/>
        </w:numPr>
      </w:pPr>
      <w:r w:rsidRPr="00825D73">
        <w:t xml:space="preserve">Individuals </w:t>
      </w:r>
      <w:r w:rsidR="00BF7331" w:rsidRPr="004C2642">
        <w:t>must verify that committee meeting times do not conflict with their current or anticipated schedules before accepting committee assignments. Faculty who cannot commit to attending all committee meetings due to schedule conflicts should not be assigned to that committee.</w:t>
      </w:r>
    </w:p>
    <w:p w14:paraId="4061CF1A" w14:textId="77777777" w:rsidR="00F5344D" w:rsidRPr="00F5344D" w:rsidRDefault="00F5344D" w:rsidP="00F5344D">
      <w:r w:rsidRPr="00F5344D">
        <w:t>5. Submission of Division Assignments</w:t>
      </w:r>
    </w:p>
    <w:p w14:paraId="0352ED1E" w14:textId="6CFBD7BE" w:rsidR="00F5344D" w:rsidRDefault="007B37CA" w:rsidP="00C85C4A">
      <w:pPr>
        <w:pStyle w:val="ListParagraph"/>
        <w:numPr>
          <w:ilvl w:val="0"/>
          <w:numId w:val="46"/>
        </w:numPr>
      </w:pPr>
      <w:r>
        <w:t xml:space="preserve">After the </w:t>
      </w:r>
      <w:r w:rsidR="00D94318">
        <w:t>d</w:t>
      </w:r>
      <w:r w:rsidR="00F5344D" w:rsidRPr="00F5344D">
        <w:t>ivision</w:t>
      </w:r>
      <w:r w:rsidR="00D94318">
        <w:t xml:space="preserve"> </w:t>
      </w:r>
      <w:r w:rsidR="00E37C47">
        <w:t>comes</w:t>
      </w:r>
      <w:r w:rsidR="00D94318">
        <w:t xml:space="preserve"> to </w:t>
      </w:r>
      <w:r w:rsidR="00E37C47">
        <w:t>a consensus</w:t>
      </w:r>
      <w:r w:rsidR="00D94318">
        <w:t>, the</w:t>
      </w:r>
      <w:r w:rsidR="00F5344D" w:rsidRPr="00F5344D">
        <w:t xml:space="preserve"> point person emails completed assignments to the Personnel Policy Committee Lead.</w:t>
      </w:r>
    </w:p>
    <w:p w14:paraId="4AA2253B" w14:textId="77777777" w:rsidR="00E37C47" w:rsidRPr="00F5344D" w:rsidRDefault="00E37C47" w:rsidP="00E37C47">
      <w:pPr>
        <w:pStyle w:val="ListParagraph"/>
        <w:numPr>
          <w:ilvl w:val="1"/>
          <w:numId w:val="46"/>
        </w:numPr>
      </w:pPr>
      <w:r>
        <w:t>CC Academic Senate President</w:t>
      </w:r>
    </w:p>
    <w:p w14:paraId="1F5F551E" w14:textId="77777777" w:rsidR="00F5344D" w:rsidRPr="00F5344D" w:rsidRDefault="00F5344D" w:rsidP="00F5344D">
      <w:r w:rsidRPr="00F5344D">
        <w:lastRenderedPageBreak/>
        <w:t>6. Bylaws Verification</w:t>
      </w:r>
    </w:p>
    <w:p w14:paraId="144F592D" w14:textId="77777777" w:rsidR="00C85C4A" w:rsidRDefault="00F5344D" w:rsidP="00C85C4A">
      <w:pPr>
        <w:pStyle w:val="ListParagraph"/>
        <w:numPr>
          <w:ilvl w:val="0"/>
          <w:numId w:val="46"/>
        </w:numPr>
      </w:pPr>
      <w:r w:rsidRPr="00F5344D">
        <w:t>Personnel Policy Committee reviews submissions to ensure:</w:t>
      </w:r>
    </w:p>
    <w:p w14:paraId="0B87161C" w14:textId="77777777" w:rsidR="00C85C4A" w:rsidRDefault="00F5344D" w:rsidP="00C85C4A">
      <w:pPr>
        <w:pStyle w:val="ListParagraph"/>
        <w:numPr>
          <w:ilvl w:val="1"/>
          <w:numId w:val="46"/>
        </w:numPr>
      </w:pPr>
      <w:r w:rsidRPr="00F5344D">
        <w:t>Compliance with Academic Senate bylaws</w:t>
      </w:r>
    </w:p>
    <w:p w14:paraId="363FE722" w14:textId="149077E8" w:rsidR="00F5344D" w:rsidRPr="00F5344D" w:rsidRDefault="00F5344D" w:rsidP="00C85C4A">
      <w:pPr>
        <w:pStyle w:val="ListParagraph"/>
        <w:numPr>
          <w:ilvl w:val="1"/>
          <w:numId w:val="46"/>
        </w:numPr>
      </w:pPr>
      <w:r w:rsidRPr="00F5344D">
        <w:t xml:space="preserve">Proper division representation </w:t>
      </w:r>
    </w:p>
    <w:p w14:paraId="4C92D28D" w14:textId="77777777" w:rsidR="00F5344D" w:rsidRPr="00F5344D" w:rsidRDefault="00F5344D" w:rsidP="00F5344D">
      <w:r w:rsidRPr="00F5344D">
        <w:t>7. Submission to Deans</w:t>
      </w:r>
    </w:p>
    <w:p w14:paraId="4632CFA5" w14:textId="0B7B28F6" w:rsidR="00A73AE9" w:rsidRDefault="007415A1" w:rsidP="00C85C4A">
      <w:pPr>
        <w:pStyle w:val="ListParagraph"/>
        <w:numPr>
          <w:ilvl w:val="0"/>
          <w:numId w:val="46"/>
        </w:numPr>
      </w:pPr>
      <w:r w:rsidRPr="00F5344D">
        <w:t xml:space="preserve">Personnel Policy </w:t>
      </w:r>
      <w:proofErr w:type="gramStart"/>
      <w:r w:rsidRPr="00F5344D">
        <w:t xml:space="preserve">Committee </w:t>
      </w:r>
      <w:r>
        <w:t xml:space="preserve"> </w:t>
      </w:r>
      <w:r w:rsidR="00F45FD6">
        <w:t>forwards</w:t>
      </w:r>
      <w:proofErr w:type="gramEnd"/>
      <w:r w:rsidR="00F45FD6">
        <w:t xml:space="preserve"> the approved</w:t>
      </w:r>
      <w:r w:rsidR="00F5344D" w:rsidRPr="00F5344D">
        <w:t xml:space="preserve"> assignments to the respective deans</w:t>
      </w:r>
      <w:r w:rsidR="00F45FD6">
        <w:t>.</w:t>
      </w:r>
    </w:p>
    <w:p w14:paraId="37A444D6" w14:textId="1DAB34B6" w:rsidR="00F5344D" w:rsidRPr="00F5344D" w:rsidRDefault="00A73AE9" w:rsidP="00A73AE9">
      <w:pPr>
        <w:pStyle w:val="ListParagraph"/>
        <w:numPr>
          <w:ilvl w:val="1"/>
          <w:numId w:val="46"/>
        </w:numPr>
      </w:pPr>
      <w:r>
        <w:t>CC</w:t>
      </w:r>
      <w:r w:rsidR="00B554D5">
        <w:t xml:space="preserve"> Academic Senate President.</w:t>
      </w:r>
    </w:p>
    <w:p w14:paraId="33F1A8E0" w14:textId="72EC1CC9" w:rsidR="00F5344D" w:rsidRPr="00F5344D" w:rsidRDefault="00F5344D" w:rsidP="00962DC6">
      <w:pPr>
        <w:spacing w:line="240" w:lineRule="auto"/>
      </w:pPr>
      <w:r w:rsidRPr="00F5344D">
        <w:t xml:space="preserve">8. </w:t>
      </w:r>
      <w:r w:rsidR="0060407F">
        <w:t>Dean Communication and Schedule Responsibilities</w:t>
      </w:r>
    </w:p>
    <w:p w14:paraId="3BF5E383" w14:textId="77777777" w:rsidR="00213EAE" w:rsidRPr="00213EAE" w:rsidRDefault="00F5344D" w:rsidP="00391626">
      <w:pPr>
        <w:pStyle w:val="ListParagraph"/>
        <w:numPr>
          <w:ilvl w:val="0"/>
          <w:numId w:val="46"/>
        </w:numPr>
      </w:pPr>
      <w:r w:rsidRPr="00F5344D">
        <w:t>Deans communicate final committee assignments to faculty members.</w:t>
      </w:r>
      <w:r w:rsidR="005621D5">
        <w:t xml:space="preserve"> </w:t>
      </w:r>
      <w:r w:rsidR="005621D5">
        <w:rPr>
          <w:b/>
          <w:bCs/>
        </w:rPr>
        <w:t>Committee meeting times are protected time for the duration of the assignment cycle (2 years for most committees, 3 years for Academic Senate) and must not be scheduled for teaching assignments.</w:t>
      </w:r>
    </w:p>
    <w:p w14:paraId="2E28CC54" w14:textId="2D33EC1D" w:rsidR="00391626" w:rsidRDefault="00391626" w:rsidP="00391626">
      <w:pPr>
        <w:pStyle w:val="ListParagraph"/>
        <w:numPr>
          <w:ilvl w:val="0"/>
          <w:numId w:val="46"/>
        </w:numPr>
      </w:pPr>
      <w:r w:rsidRPr="00213EAE">
        <w:rPr>
          <w:b/>
          <w:bCs/>
        </w:rPr>
        <w:t xml:space="preserve">Dean Responsibility: </w:t>
      </w:r>
      <w:r>
        <w:t xml:space="preserve">Before finalizing teaching schedules each semester, deans must consult the master committee schedule to ensure no faculty member is scheduled to teach during their assigned committee meeting time. If an unavoidable conflict arises, the dean is responsible for </w:t>
      </w:r>
      <w:r w:rsidR="00837BEB">
        <w:t xml:space="preserve">working with the department to </w:t>
      </w:r>
      <w:r>
        <w:t>find a replacement faculty member from the same division and notifying the Academic Senate President of the change.</w:t>
      </w:r>
    </w:p>
    <w:p w14:paraId="4414CB74" w14:textId="04E13D99" w:rsidR="00327C3D" w:rsidRPr="00C85C4A" w:rsidRDefault="00327C3D" w:rsidP="00F5344D"/>
    <w:sectPr w:rsidR="00327C3D" w:rsidRPr="00C85C4A" w:rsidSect="008179C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5338"/>
    <w:multiLevelType w:val="multilevel"/>
    <w:tmpl w:val="B1FED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37580"/>
    <w:multiLevelType w:val="multilevel"/>
    <w:tmpl w:val="FDFC3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E0C2D"/>
    <w:multiLevelType w:val="multilevel"/>
    <w:tmpl w:val="970A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8D1602"/>
    <w:multiLevelType w:val="multilevel"/>
    <w:tmpl w:val="FB3842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EA5772"/>
    <w:multiLevelType w:val="multilevel"/>
    <w:tmpl w:val="FBD81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215010"/>
    <w:multiLevelType w:val="hybridMultilevel"/>
    <w:tmpl w:val="4F90A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725A3C"/>
    <w:multiLevelType w:val="multilevel"/>
    <w:tmpl w:val="CEB47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6479CD"/>
    <w:multiLevelType w:val="multilevel"/>
    <w:tmpl w:val="FD068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872D2F"/>
    <w:multiLevelType w:val="multilevel"/>
    <w:tmpl w:val="3BE40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AC7A49"/>
    <w:multiLevelType w:val="multilevel"/>
    <w:tmpl w:val="4B905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B3755B"/>
    <w:multiLevelType w:val="multilevel"/>
    <w:tmpl w:val="CE6A6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B64E0C"/>
    <w:multiLevelType w:val="multilevel"/>
    <w:tmpl w:val="B55E6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CF2A82"/>
    <w:multiLevelType w:val="multilevel"/>
    <w:tmpl w:val="F56CF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0D22A8"/>
    <w:multiLevelType w:val="multilevel"/>
    <w:tmpl w:val="662E9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884AB1"/>
    <w:multiLevelType w:val="multilevel"/>
    <w:tmpl w:val="7DC8E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4228C3"/>
    <w:multiLevelType w:val="multilevel"/>
    <w:tmpl w:val="159C6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F8746B"/>
    <w:multiLevelType w:val="multilevel"/>
    <w:tmpl w:val="FA425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11765C"/>
    <w:multiLevelType w:val="multilevel"/>
    <w:tmpl w:val="E116AF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5C1F26"/>
    <w:multiLevelType w:val="multilevel"/>
    <w:tmpl w:val="46A23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B2065F"/>
    <w:multiLevelType w:val="multilevel"/>
    <w:tmpl w:val="1F02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5712A0"/>
    <w:multiLevelType w:val="multilevel"/>
    <w:tmpl w:val="541C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116971"/>
    <w:multiLevelType w:val="multilevel"/>
    <w:tmpl w:val="B26C5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FF3E69"/>
    <w:multiLevelType w:val="multilevel"/>
    <w:tmpl w:val="0158C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4F78F8"/>
    <w:multiLevelType w:val="multilevel"/>
    <w:tmpl w:val="16344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C34962"/>
    <w:multiLevelType w:val="multilevel"/>
    <w:tmpl w:val="F1862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342861"/>
    <w:multiLevelType w:val="multilevel"/>
    <w:tmpl w:val="7A64C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A046B6"/>
    <w:multiLevelType w:val="multilevel"/>
    <w:tmpl w:val="D6E83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B01564"/>
    <w:multiLevelType w:val="multilevel"/>
    <w:tmpl w:val="AE407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D22930"/>
    <w:multiLevelType w:val="multilevel"/>
    <w:tmpl w:val="A7227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3F72C5"/>
    <w:multiLevelType w:val="multilevel"/>
    <w:tmpl w:val="9C260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135795"/>
    <w:multiLevelType w:val="multilevel"/>
    <w:tmpl w:val="86308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F64400"/>
    <w:multiLevelType w:val="multilevel"/>
    <w:tmpl w:val="DB583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1D7A90"/>
    <w:multiLevelType w:val="multilevel"/>
    <w:tmpl w:val="703E8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6FC52DE"/>
    <w:multiLevelType w:val="multilevel"/>
    <w:tmpl w:val="AA46E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2D692D"/>
    <w:multiLevelType w:val="multilevel"/>
    <w:tmpl w:val="6242E9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2177F0"/>
    <w:multiLevelType w:val="multilevel"/>
    <w:tmpl w:val="1C7ACE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873FD6"/>
    <w:multiLevelType w:val="multilevel"/>
    <w:tmpl w:val="707CC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DDA33BD"/>
    <w:multiLevelType w:val="multilevel"/>
    <w:tmpl w:val="46583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C7306B"/>
    <w:multiLevelType w:val="multilevel"/>
    <w:tmpl w:val="8A2E81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4013D5B"/>
    <w:multiLevelType w:val="multilevel"/>
    <w:tmpl w:val="1F4AA2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9565B36"/>
    <w:multiLevelType w:val="multilevel"/>
    <w:tmpl w:val="C27EE3E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1" w15:restartNumberingAfterBreak="0">
    <w:nsid w:val="6F9F7AF8"/>
    <w:multiLevelType w:val="hybridMultilevel"/>
    <w:tmpl w:val="19AE9C50"/>
    <w:lvl w:ilvl="0" w:tplc="04090001">
      <w:start w:val="1"/>
      <w:numFmt w:val="bullet"/>
      <w:lvlText w:val=""/>
      <w:lvlJc w:val="left"/>
      <w:pPr>
        <w:ind w:left="720" w:hanging="360"/>
      </w:pPr>
      <w:rPr>
        <w:rFonts w:ascii="Symbol" w:hAnsi="Symbol" w:hint="default"/>
      </w:rPr>
    </w:lvl>
    <w:lvl w:ilvl="1" w:tplc="55F06026">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2A5B6A"/>
    <w:multiLevelType w:val="multilevel"/>
    <w:tmpl w:val="5540E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2F3A19"/>
    <w:multiLevelType w:val="multilevel"/>
    <w:tmpl w:val="29BC6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425D97"/>
    <w:multiLevelType w:val="multilevel"/>
    <w:tmpl w:val="5CCEB2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4F65E3"/>
    <w:multiLevelType w:val="multilevel"/>
    <w:tmpl w:val="1E284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977973">
    <w:abstractNumId w:val="8"/>
  </w:num>
  <w:num w:numId="2" w16cid:durableId="904217967">
    <w:abstractNumId w:val="18"/>
  </w:num>
  <w:num w:numId="3" w16cid:durableId="2016608489">
    <w:abstractNumId w:val="2"/>
  </w:num>
  <w:num w:numId="4" w16cid:durableId="536744117">
    <w:abstractNumId w:val="37"/>
  </w:num>
  <w:num w:numId="5" w16cid:durableId="1921865676">
    <w:abstractNumId w:val="16"/>
  </w:num>
  <w:num w:numId="6" w16cid:durableId="1410151272">
    <w:abstractNumId w:val="32"/>
  </w:num>
  <w:num w:numId="7" w16cid:durableId="976377642">
    <w:abstractNumId w:val="20"/>
  </w:num>
  <w:num w:numId="8" w16cid:durableId="573005879">
    <w:abstractNumId w:val="13"/>
  </w:num>
  <w:num w:numId="9" w16cid:durableId="1591348842">
    <w:abstractNumId w:val="35"/>
  </w:num>
  <w:num w:numId="10" w16cid:durableId="769475540">
    <w:abstractNumId w:val="15"/>
  </w:num>
  <w:num w:numId="11" w16cid:durableId="1544059112">
    <w:abstractNumId w:val="38"/>
  </w:num>
  <w:num w:numId="12" w16cid:durableId="1433625486">
    <w:abstractNumId w:val="24"/>
  </w:num>
  <w:num w:numId="13" w16cid:durableId="1411196017">
    <w:abstractNumId w:val="3"/>
  </w:num>
  <w:num w:numId="14" w16cid:durableId="36125308">
    <w:abstractNumId w:val="26"/>
  </w:num>
  <w:num w:numId="15" w16cid:durableId="1144811065">
    <w:abstractNumId w:val="43"/>
  </w:num>
  <w:num w:numId="16" w16cid:durableId="1325551235">
    <w:abstractNumId w:val="30"/>
  </w:num>
  <w:num w:numId="17" w16cid:durableId="1211070449">
    <w:abstractNumId w:val="21"/>
  </w:num>
  <w:num w:numId="18" w16cid:durableId="486284911">
    <w:abstractNumId w:val="36"/>
  </w:num>
  <w:num w:numId="19" w16cid:durableId="1189442443">
    <w:abstractNumId w:val="28"/>
  </w:num>
  <w:num w:numId="20" w16cid:durableId="32389258">
    <w:abstractNumId w:val="34"/>
  </w:num>
  <w:num w:numId="21" w16cid:durableId="708799412">
    <w:abstractNumId w:val="14"/>
  </w:num>
  <w:num w:numId="22" w16cid:durableId="2134984183">
    <w:abstractNumId w:val="17"/>
  </w:num>
  <w:num w:numId="23" w16cid:durableId="107941916">
    <w:abstractNumId w:val="31"/>
  </w:num>
  <w:num w:numId="24" w16cid:durableId="53815251">
    <w:abstractNumId w:val="23"/>
  </w:num>
  <w:num w:numId="25" w16cid:durableId="1621834637">
    <w:abstractNumId w:val="6"/>
  </w:num>
  <w:num w:numId="26" w16cid:durableId="369572134">
    <w:abstractNumId w:val="25"/>
  </w:num>
  <w:num w:numId="27" w16cid:durableId="1601986440">
    <w:abstractNumId w:val="7"/>
  </w:num>
  <w:num w:numId="28" w16cid:durableId="597375525">
    <w:abstractNumId w:val="9"/>
  </w:num>
  <w:num w:numId="29" w16cid:durableId="957107448">
    <w:abstractNumId w:val="19"/>
  </w:num>
  <w:num w:numId="30" w16cid:durableId="1850487846">
    <w:abstractNumId w:val="45"/>
  </w:num>
  <w:num w:numId="31" w16cid:durableId="278075632">
    <w:abstractNumId w:val="10"/>
  </w:num>
  <w:num w:numId="32" w16cid:durableId="273099483">
    <w:abstractNumId w:val="40"/>
  </w:num>
  <w:num w:numId="33" w16cid:durableId="1828087577">
    <w:abstractNumId w:val="22"/>
  </w:num>
  <w:num w:numId="34" w16cid:durableId="344214987">
    <w:abstractNumId w:val="44"/>
  </w:num>
  <w:num w:numId="35" w16cid:durableId="1660305040">
    <w:abstractNumId w:val="12"/>
  </w:num>
  <w:num w:numId="36" w16cid:durableId="1361932681">
    <w:abstractNumId w:val="39"/>
  </w:num>
  <w:num w:numId="37" w16cid:durableId="620234693">
    <w:abstractNumId w:val="42"/>
  </w:num>
  <w:num w:numId="38" w16cid:durableId="2119132709">
    <w:abstractNumId w:val="27"/>
  </w:num>
  <w:num w:numId="39" w16cid:durableId="1782650040">
    <w:abstractNumId w:val="33"/>
  </w:num>
  <w:num w:numId="40" w16cid:durableId="1182743872">
    <w:abstractNumId w:val="4"/>
  </w:num>
  <w:num w:numId="41" w16cid:durableId="1701204880">
    <w:abstractNumId w:val="1"/>
  </w:num>
  <w:num w:numId="42" w16cid:durableId="714239386">
    <w:abstractNumId w:val="0"/>
  </w:num>
  <w:num w:numId="43" w16cid:durableId="1810441910">
    <w:abstractNumId w:val="11"/>
  </w:num>
  <w:num w:numId="44" w16cid:durableId="1222474576">
    <w:abstractNumId w:val="29"/>
  </w:num>
  <w:num w:numId="45" w16cid:durableId="1553807963">
    <w:abstractNumId w:val="41"/>
  </w:num>
  <w:num w:numId="46" w16cid:durableId="7951798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093"/>
    <w:rsid w:val="00030CCF"/>
    <w:rsid w:val="000370A7"/>
    <w:rsid w:val="00092CAD"/>
    <w:rsid w:val="000A6199"/>
    <w:rsid w:val="000B106A"/>
    <w:rsid w:val="000B3678"/>
    <w:rsid w:val="001015DC"/>
    <w:rsid w:val="00124A1E"/>
    <w:rsid w:val="001355DA"/>
    <w:rsid w:val="001E2643"/>
    <w:rsid w:val="002059E1"/>
    <w:rsid w:val="00213EAE"/>
    <w:rsid w:val="002400E6"/>
    <w:rsid w:val="0025252B"/>
    <w:rsid w:val="00267189"/>
    <w:rsid w:val="002E5A16"/>
    <w:rsid w:val="00312693"/>
    <w:rsid w:val="00326427"/>
    <w:rsid w:val="00327C3D"/>
    <w:rsid w:val="00344D34"/>
    <w:rsid w:val="0035614F"/>
    <w:rsid w:val="00391626"/>
    <w:rsid w:val="003A4C54"/>
    <w:rsid w:val="003B3B10"/>
    <w:rsid w:val="003E1620"/>
    <w:rsid w:val="003E5683"/>
    <w:rsid w:val="003F00FA"/>
    <w:rsid w:val="003F76D9"/>
    <w:rsid w:val="0046522E"/>
    <w:rsid w:val="00480A53"/>
    <w:rsid w:val="004909C2"/>
    <w:rsid w:val="004E254A"/>
    <w:rsid w:val="005551BB"/>
    <w:rsid w:val="005621D5"/>
    <w:rsid w:val="00563B48"/>
    <w:rsid w:val="005F092D"/>
    <w:rsid w:val="0060407F"/>
    <w:rsid w:val="00625442"/>
    <w:rsid w:val="00646459"/>
    <w:rsid w:val="00695D37"/>
    <w:rsid w:val="006978D4"/>
    <w:rsid w:val="006B22D5"/>
    <w:rsid w:val="00734406"/>
    <w:rsid w:val="007415A1"/>
    <w:rsid w:val="007851F7"/>
    <w:rsid w:val="007B37CA"/>
    <w:rsid w:val="007D2FB1"/>
    <w:rsid w:val="007F25F0"/>
    <w:rsid w:val="007F34AE"/>
    <w:rsid w:val="008179CF"/>
    <w:rsid w:val="00825D73"/>
    <w:rsid w:val="00837BEB"/>
    <w:rsid w:val="00882CD9"/>
    <w:rsid w:val="008A0F52"/>
    <w:rsid w:val="008F1188"/>
    <w:rsid w:val="009378D2"/>
    <w:rsid w:val="00947093"/>
    <w:rsid w:val="00962DC6"/>
    <w:rsid w:val="009903C9"/>
    <w:rsid w:val="00992D8F"/>
    <w:rsid w:val="009F3C63"/>
    <w:rsid w:val="00A12C94"/>
    <w:rsid w:val="00A42CB3"/>
    <w:rsid w:val="00A4487F"/>
    <w:rsid w:val="00A73AE9"/>
    <w:rsid w:val="00B073D7"/>
    <w:rsid w:val="00B17E3B"/>
    <w:rsid w:val="00B4140E"/>
    <w:rsid w:val="00B554D5"/>
    <w:rsid w:val="00BA7F2C"/>
    <w:rsid w:val="00BB309F"/>
    <w:rsid w:val="00BC644C"/>
    <w:rsid w:val="00BD415A"/>
    <w:rsid w:val="00BF7331"/>
    <w:rsid w:val="00C55B61"/>
    <w:rsid w:val="00C81816"/>
    <w:rsid w:val="00C85C4A"/>
    <w:rsid w:val="00C94AF4"/>
    <w:rsid w:val="00CF0F5E"/>
    <w:rsid w:val="00CF51E9"/>
    <w:rsid w:val="00D52F8C"/>
    <w:rsid w:val="00D94318"/>
    <w:rsid w:val="00DF0CA8"/>
    <w:rsid w:val="00E34709"/>
    <w:rsid w:val="00E35896"/>
    <w:rsid w:val="00E37C47"/>
    <w:rsid w:val="00E44BA1"/>
    <w:rsid w:val="00E45483"/>
    <w:rsid w:val="00E465F4"/>
    <w:rsid w:val="00E57729"/>
    <w:rsid w:val="00EF66F4"/>
    <w:rsid w:val="00F45FD6"/>
    <w:rsid w:val="00F4636A"/>
    <w:rsid w:val="00F5344D"/>
    <w:rsid w:val="00F65802"/>
    <w:rsid w:val="00F843B6"/>
    <w:rsid w:val="00F959C6"/>
    <w:rsid w:val="00FA2157"/>
    <w:rsid w:val="00FB0A9E"/>
    <w:rsid w:val="00FB7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2D7FF"/>
  <w15:chartTrackingRefBased/>
  <w15:docId w15:val="{B02F1A89-B324-4288-BCB3-AEDA21DF7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70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70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70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70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70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70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70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70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70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0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70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70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70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70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70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70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70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7093"/>
    <w:rPr>
      <w:rFonts w:eastAsiaTheme="majorEastAsia" w:cstheme="majorBidi"/>
      <w:color w:val="272727" w:themeColor="text1" w:themeTint="D8"/>
    </w:rPr>
  </w:style>
  <w:style w:type="paragraph" w:styleId="Title">
    <w:name w:val="Title"/>
    <w:basedOn w:val="Normal"/>
    <w:next w:val="Normal"/>
    <w:link w:val="TitleChar"/>
    <w:uiPriority w:val="10"/>
    <w:qFormat/>
    <w:rsid w:val="009470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0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70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70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7093"/>
    <w:pPr>
      <w:spacing w:before="160"/>
      <w:jc w:val="center"/>
    </w:pPr>
    <w:rPr>
      <w:i/>
      <w:iCs/>
      <w:color w:val="404040" w:themeColor="text1" w:themeTint="BF"/>
    </w:rPr>
  </w:style>
  <w:style w:type="character" w:customStyle="1" w:styleId="QuoteChar">
    <w:name w:val="Quote Char"/>
    <w:basedOn w:val="DefaultParagraphFont"/>
    <w:link w:val="Quote"/>
    <w:uiPriority w:val="29"/>
    <w:rsid w:val="00947093"/>
    <w:rPr>
      <w:i/>
      <w:iCs/>
      <w:color w:val="404040" w:themeColor="text1" w:themeTint="BF"/>
    </w:rPr>
  </w:style>
  <w:style w:type="paragraph" w:styleId="ListParagraph">
    <w:name w:val="List Paragraph"/>
    <w:basedOn w:val="Normal"/>
    <w:qFormat/>
    <w:rsid w:val="00947093"/>
    <w:pPr>
      <w:ind w:left="720"/>
      <w:contextualSpacing/>
    </w:pPr>
  </w:style>
  <w:style w:type="character" w:styleId="IntenseEmphasis">
    <w:name w:val="Intense Emphasis"/>
    <w:basedOn w:val="DefaultParagraphFont"/>
    <w:uiPriority w:val="21"/>
    <w:qFormat/>
    <w:rsid w:val="00947093"/>
    <w:rPr>
      <w:i/>
      <w:iCs/>
      <w:color w:val="0F4761" w:themeColor="accent1" w:themeShade="BF"/>
    </w:rPr>
  </w:style>
  <w:style w:type="paragraph" w:styleId="IntenseQuote">
    <w:name w:val="Intense Quote"/>
    <w:basedOn w:val="Normal"/>
    <w:next w:val="Normal"/>
    <w:link w:val="IntenseQuoteChar"/>
    <w:uiPriority w:val="30"/>
    <w:qFormat/>
    <w:rsid w:val="009470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7093"/>
    <w:rPr>
      <w:i/>
      <w:iCs/>
      <w:color w:val="0F4761" w:themeColor="accent1" w:themeShade="BF"/>
    </w:rPr>
  </w:style>
  <w:style w:type="character" w:styleId="IntenseReference">
    <w:name w:val="Intense Reference"/>
    <w:basedOn w:val="DefaultParagraphFont"/>
    <w:uiPriority w:val="32"/>
    <w:qFormat/>
    <w:rsid w:val="009470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6e17ab0-d9c7-43e4-b85d-f29d7eca34a3}" enabled="1" method="Standard" siteId="{f6bb5689-1cd5-404a-b451-f35991b30e09}"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2</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Salyer, Jamie</dc:creator>
  <cp:keywords/>
  <dc:description/>
  <cp:lastModifiedBy>Salyer, Jamie</cp:lastModifiedBy>
  <cp:revision>12</cp:revision>
  <dcterms:created xsi:type="dcterms:W3CDTF">2026-01-31T18:56:00Z</dcterms:created>
  <dcterms:modified xsi:type="dcterms:W3CDTF">2026-01-31T19:08:00Z</dcterms:modified>
</cp:coreProperties>
</file>