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57EB4" w14:textId="77777777" w:rsidR="00020154" w:rsidRDefault="00020154" w:rsidP="0077194F">
      <w:pPr>
        <w:spacing w:line="240" w:lineRule="auto"/>
        <w:contextualSpacing/>
        <w:jc w:val="center"/>
        <w:rPr>
          <w:rFonts w:ascii="Mangal Pro" w:hAnsi="Mangal Pro" w:cs="Mangal Pro"/>
          <w:b/>
          <w:bCs/>
        </w:rPr>
      </w:pPr>
    </w:p>
    <w:p w14:paraId="4C828D19" w14:textId="77777777" w:rsidR="00282C96" w:rsidRDefault="00282C96" w:rsidP="0077194F">
      <w:pPr>
        <w:spacing w:line="240" w:lineRule="auto"/>
        <w:contextualSpacing/>
        <w:jc w:val="center"/>
        <w:rPr>
          <w:rFonts w:ascii="Mangal Pro" w:hAnsi="Mangal Pro" w:cs="Mangal Pro"/>
          <w:b/>
          <w:bCs/>
        </w:rPr>
      </w:pPr>
    </w:p>
    <w:p w14:paraId="0CAF0FF0" w14:textId="77777777" w:rsidR="00282C96" w:rsidRDefault="00282C96" w:rsidP="0077194F">
      <w:pPr>
        <w:spacing w:line="240" w:lineRule="auto"/>
        <w:contextualSpacing/>
        <w:jc w:val="center"/>
        <w:rPr>
          <w:rFonts w:ascii="Mangal Pro" w:hAnsi="Mangal Pro" w:cs="Mangal Pro"/>
          <w:b/>
          <w:bCs/>
        </w:rPr>
      </w:pPr>
    </w:p>
    <w:p w14:paraId="1AC96698" w14:textId="03B6283D" w:rsidR="00282C96" w:rsidRDefault="00282C96" w:rsidP="0077194F">
      <w:pPr>
        <w:spacing w:line="240" w:lineRule="auto"/>
        <w:contextualSpacing/>
        <w:jc w:val="center"/>
        <w:rPr>
          <w:rFonts w:ascii="Mangal Pro" w:hAnsi="Mangal Pro" w:cs="Mangal Pro"/>
          <w:b/>
          <w:bCs/>
        </w:rPr>
      </w:pPr>
      <w:r>
        <w:rPr>
          <w:rFonts w:ascii="Mangal Pro" w:hAnsi="Mangal Pro" w:cs="Mangal Pro"/>
          <w:b/>
          <w:bCs/>
        </w:rPr>
        <w:t>STUDENT EQUITY PLAN</w:t>
      </w:r>
    </w:p>
    <w:p w14:paraId="7026A3E1" w14:textId="402E5FA3" w:rsidR="00282C96" w:rsidRDefault="00282C96" w:rsidP="0077194F">
      <w:pPr>
        <w:spacing w:line="240" w:lineRule="auto"/>
        <w:contextualSpacing/>
        <w:jc w:val="center"/>
        <w:rPr>
          <w:rFonts w:ascii="Mangal Pro" w:hAnsi="Mangal Pro" w:cs="Mangal Pro"/>
          <w:b/>
          <w:bCs/>
        </w:rPr>
      </w:pPr>
      <w:r>
        <w:rPr>
          <w:rFonts w:ascii="Mangal Pro" w:hAnsi="Mangal Pro" w:cs="Mangal Pro"/>
          <w:b/>
          <w:bCs/>
        </w:rPr>
        <w:t>2025-2028</w:t>
      </w:r>
    </w:p>
    <w:p w14:paraId="258720F8" w14:textId="5FCC64A6" w:rsidR="00020154" w:rsidRDefault="00282C96" w:rsidP="0077194F">
      <w:pPr>
        <w:spacing w:line="240" w:lineRule="auto"/>
        <w:contextualSpacing/>
        <w:jc w:val="center"/>
        <w:rPr>
          <w:rFonts w:ascii="Mangal Pro" w:hAnsi="Mangal Pro" w:cs="Mangal Pro"/>
          <w:b/>
          <w:bCs/>
        </w:rPr>
      </w:pPr>
      <w:r>
        <w:rPr>
          <w:noProof/>
        </w:rPr>
        <w:drawing>
          <wp:anchor distT="0" distB="0" distL="0" distR="0" simplePos="0" relativeHeight="251659264" behindDoc="1" locked="0" layoutInCell="1" allowOverlap="1" wp14:anchorId="5B80F51D" wp14:editId="78D32293">
            <wp:simplePos x="0" y="0"/>
            <wp:positionH relativeFrom="margin">
              <wp:posOffset>-542925</wp:posOffset>
            </wp:positionH>
            <wp:positionV relativeFrom="paragraph">
              <wp:posOffset>523240</wp:posOffset>
            </wp:positionV>
            <wp:extent cx="6934200" cy="6143625"/>
            <wp:effectExtent l="0" t="0" r="0" b="9525"/>
            <wp:wrapTopAndBottom/>
            <wp:docPr id="3" name="Image 3" descr="A building with a ramp leading to the entranc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building with a ramp leading to the entrance&#10;&#10;AI-generated content may be incorrect."/>
                    <pic:cNvPicPr/>
                  </pic:nvPicPr>
                  <pic:blipFill>
                    <a:blip r:embed="rId8" cstate="print"/>
                    <a:stretch>
                      <a:fillRect/>
                    </a:stretch>
                  </pic:blipFill>
                  <pic:spPr>
                    <a:xfrm>
                      <a:off x="0" y="0"/>
                      <a:ext cx="6934200" cy="6143625"/>
                    </a:xfrm>
                    <a:prstGeom prst="rect">
                      <a:avLst/>
                    </a:prstGeom>
                  </pic:spPr>
                </pic:pic>
              </a:graphicData>
            </a:graphic>
            <wp14:sizeRelH relativeFrom="margin">
              <wp14:pctWidth>0</wp14:pctWidth>
            </wp14:sizeRelH>
            <wp14:sizeRelV relativeFrom="margin">
              <wp14:pctHeight>0</wp14:pctHeight>
            </wp14:sizeRelV>
          </wp:anchor>
        </w:drawing>
      </w:r>
    </w:p>
    <w:p w14:paraId="78146737" w14:textId="77777777" w:rsidR="00020154" w:rsidRDefault="00020154" w:rsidP="0077194F">
      <w:pPr>
        <w:spacing w:line="240" w:lineRule="auto"/>
        <w:contextualSpacing/>
        <w:jc w:val="center"/>
        <w:rPr>
          <w:rFonts w:ascii="Mangal Pro" w:hAnsi="Mangal Pro" w:cs="Mangal Pro"/>
          <w:b/>
          <w:bCs/>
        </w:rPr>
      </w:pPr>
    </w:p>
    <w:p w14:paraId="53C0A428" w14:textId="77777777" w:rsidR="000013C6" w:rsidRDefault="000013C6" w:rsidP="000013C6">
      <w:pPr>
        <w:pStyle w:val="BodyText"/>
        <w:ind w:left="191"/>
        <w:rPr>
          <w:rFonts w:ascii="Times New Roman"/>
          <w:sz w:val="20"/>
        </w:rPr>
      </w:pPr>
    </w:p>
    <w:p w14:paraId="777FBA08" w14:textId="491C00AD" w:rsidR="000013C6" w:rsidRPr="00A23206" w:rsidRDefault="000013C6" w:rsidP="00282C96">
      <w:pPr>
        <w:pStyle w:val="BodyText"/>
        <w:spacing w:before="53"/>
        <w:jc w:val="center"/>
        <w:rPr>
          <w:rFonts w:ascii="Mangal Pro" w:hAnsi="Mangal Pro" w:cs="Mangal Pro"/>
          <w:b/>
          <w:bCs/>
          <w:sz w:val="22"/>
          <w:szCs w:val="22"/>
          <w:u w:val="single"/>
        </w:rPr>
      </w:pPr>
      <w:r w:rsidRPr="00A23206">
        <w:rPr>
          <w:rFonts w:ascii="Mangal Pro" w:hAnsi="Mangal Pro" w:cs="Mangal Pro"/>
          <w:b/>
          <w:bCs/>
          <w:sz w:val="22"/>
          <w:szCs w:val="22"/>
          <w:u w:val="single"/>
        </w:rPr>
        <w:t xml:space="preserve">TABLE OF </w:t>
      </w:r>
      <w:r w:rsidRPr="00A23206">
        <w:rPr>
          <w:rFonts w:ascii="Mangal Pro" w:hAnsi="Mangal Pro" w:cs="Mangal Pro"/>
          <w:b/>
          <w:bCs/>
          <w:spacing w:val="-2"/>
          <w:sz w:val="22"/>
          <w:szCs w:val="22"/>
          <w:u w:val="single"/>
        </w:rPr>
        <w:t>CONTENTS</w:t>
      </w:r>
    </w:p>
    <w:p w14:paraId="7A10CEC5" w14:textId="2FDA532B" w:rsidR="000013C6" w:rsidRDefault="00A23206" w:rsidP="000013C6">
      <w:pPr>
        <w:pStyle w:val="BodyText"/>
        <w:rPr>
          <w:rFonts w:ascii="Mangal Pro" w:hAnsi="Mangal Pro" w:cs="Mangal Pro"/>
          <w:b/>
          <w:sz w:val="22"/>
          <w:szCs w:val="22"/>
        </w:rPr>
      </w:pPr>
      <w:r>
        <w:rPr>
          <w:rFonts w:ascii="Times New Roman"/>
          <w:b/>
          <w:sz w:val="36"/>
        </w:rPr>
        <w:t xml:space="preserve"> </w:t>
      </w:r>
    </w:p>
    <w:p w14:paraId="79E70DB6" w14:textId="3DFB9947" w:rsidR="00A23206" w:rsidRDefault="00A23206" w:rsidP="000013C6">
      <w:pPr>
        <w:pStyle w:val="BodyText"/>
        <w:rPr>
          <w:rFonts w:ascii="Mangal Pro" w:hAnsi="Mangal Pro" w:cs="Mangal Pro"/>
          <w:b/>
          <w:sz w:val="22"/>
          <w:szCs w:val="22"/>
        </w:rPr>
      </w:pPr>
      <w:r>
        <w:rPr>
          <w:rFonts w:ascii="Mangal Pro" w:hAnsi="Mangal Pro" w:cs="Mangal Pro"/>
          <w:b/>
          <w:sz w:val="22"/>
          <w:szCs w:val="22"/>
        </w:rPr>
        <w:t>Section 1: Assurances and Reflection</w:t>
      </w:r>
    </w:p>
    <w:p w14:paraId="01E0D556" w14:textId="245BA1D4" w:rsidR="00A23206" w:rsidRPr="00A23206" w:rsidRDefault="00A23206" w:rsidP="00A41ADB">
      <w:pPr>
        <w:pStyle w:val="BodyText"/>
        <w:numPr>
          <w:ilvl w:val="0"/>
          <w:numId w:val="45"/>
        </w:numPr>
        <w:rPr>
          <w:rFonts w:ascii="Mangal Pro" w:hAnsi="Mangal Pro" w:cs="Mangal Pro"/>
          <w:bCs/>
          <w:sz w:val="22"/>
          <w:szCs w:val="22"/>
        </w:rPr>
      </w:pPr>
      <w:r w:rsidRPr="00A23206">
        <w:rPr>
          <w:rFonts w:ascii="Mangal Pro" w:hAnsi="Mangal Pro" w:cs="Mangal Pro"/>
          <w:bCs/>
          <w:sz w:val="22"/>
          <w:szCs w:val="22"/>
        </w:rPr>
        <w:t>Campus Involvement &amp; Leveraging Student Voice</w:t>
      </w:r>
    </w:p>
    <w:p w14:paraId="6697C0EA" w14:textId="1C7ED002" w:rsidR="00A23206" w:rsidRPr="00A23206" w:rsidRDefault="00A23206" w:rsidP="00A41ADB">
      <w:pPr>
        <w:pStyle w:val="BodyText"/>
        <w:numPr>
          <w:ilvl w:val="0"/>
          <w:numId w:val="45"/>
        </w:numPr>
        <w:rPr>
          <w:rFonts w:ascii="Mangal Pro" w:hAnsi="Mangal Pro" w:cs="Mangal Pro"/>
          <w:bCs/>
          <w:sz w:val="22"/>
          <w:szCs w:val="22"/>
        </w:rPr>
      </w:pPr>
      <w:r w:rsidRPr="00A23206">
        <w:rPr>
          <w:rFonts w:ascii="Mangal Pro" w:hAnsi="Mangal Pro" w:cs="Mangal Pro"/>
          <w:bCs/>
          <w:sz w:val="22"/>
          <w:szCs w:val="22"/>
        </w:rPr>
        <w:t>Race-Consciousness Planning</w:t>
      </w:r>
    </w:p>
    <w:p w14:paraId="71D96428" w14:textId="77777777" w:rsidR="000013C6" w:rsidRDefault="000013C6" w:rsidP="000013C6">
      <w:pPr>
        <w:pStyle w:val="BodyText"/>
        <w:rPr>
          <w:rFonts w:ascii="Times New Roman"/>
          <w:b/>
          <w:sz w:val="36"/>
        </w:rPr>
      </w:pPr>
    </w:p>
    <w:p w14:paraId="3AE1A406" w14:textId="3B59F25C" w:rsidR="00A23206" w:rsidRDefault="00A23206" w:rsidP="005201B2">
      <w:pPr>
        <w:pStyle w:val="BodyText"/>
        <w:spacing w:line="360" w:lineRule="auto"/>
        <w:rPr>
          <w:rFonts w:ascii="Mangal Pro" w:hAnsi="Mangal Pro" w:cs="Mangal Pro"/>
          <w:b/>
          <w:sz w:val="22"/>
          <w:szCs w:val="22"/>
        </w:rPr>
      </w:pPr>
      <w:r>
        <w:rPr>
          <w:rFonts w:ascii="Mangal Pro" w:hAnsi="Mangal Pro" w:cs="Mangal Pro"/>
          <w:b/>
          <w:sz w:val="22"/>
          <w:szCs w:val="22"/>
        </w:rPr>
        <w:t xml:space="preserve">Section 2: </w:t>
      </w:r>
      <w:r w:rsidR="005201B2">
        <w:rPr>
          <w:rFonts w:ascii="Mangal Pro" w:hAnsi="Mangal Pro" w:cs="Mangal Pro"/>
          <w:b/>
          <w:sz w:val="22"/>
          <w:szCs w:val="22"/>
        </w:rPr>
        <w:tab/>
      </w:r>
      <w:r>
        <w:rPr>
          <w:rFonts w:ascii="Mangal Pro" w:hAnsi="Mangal Pro" w:cs="Mangal Pro"/>
          <w:b/>
          <w:sz w:val="22"/>
          <w:szCs w:val="22"/>
        </w:rPr>
        <w:t>Contacts</w:t>
      </w:r>
    </w:p>
    <w:p w14:paraId="59508D57" w14:textId="04B38612" w:rsidR="00A23206" w:rsidRDefault="00A23206" w:rsidP="005201B2">
      <w:pPr>
        <w:pStyle w:val="BodyText"/>
        <w:spacing w:line="360" w:lineRule="auto"/>
        <w:rPr>
          <w:rFonts w:ascii="Mangal Pro" w:hAnsi="Mangal Pro" w:cs="Mangal Pro"/>
          <w:b/>
          <w:sz w:val="22"/>
          <w:szCs w:val="22"/>
        </w:rPr>
      </w:pPr>
      <w:r>
        <w:rPr>
          <w:rFonts w:ascii="Mangal Pro" w:hAnsi="Mangal Pro" w:cs="Mangal Pro"/>
          <w:b/>
          <w:sz w:val="22"/>
          <w:szCs w:val="22"/>
        </w:rPr>
        <w:t xml:space="preserve">Section 3: </w:t>
      </w:r>
      <w:r w:rsidR="005201B2">
        <w:rPr>
          <w:rFonts w:ascii="Mangal Pro" w:hAnsi="Mangal Pro" w:cs="Mangal Pro"/>
          <w:b/>
          <w:sz w:val="22"/>
          <w:szCs w:val="22"/>
        </w:rPr>
        <w:tab/>
      </w:r>
      <w:r>
        <w:rPr>
          <w:rFonts w:ascii="Mangal Pro" w:hAnsi="Mangal Pro" w:cs="Mangal Pro"/>
          <w:b/>
          <w:sz w:val="22"/>
          <w:szCs w:val="22"/>
        </w:rPr>
        <w:t>Student Equity Reflection</w:t>
      </w:r>
    </w:p>
    <w:p w14:paraId="48FFCA8E" w14:textId="762B216D" w:rsidR="00A23206" w:rsidRDefault="00A23206" w:rsidP="005201B2">
      <w:pPr>
        <w:pStyle w:val="BodyText"/>
        <w:spacing w:line="360" w:lineRule="auto"/>
        <w:rPr>
          <w:rFonts w:ascii="Mangal Pro" w:hAnsi="Mangal Pro" w:cs="Mangal Pro"/>
          <w:b/>
          <w:sz w:val="22"/>
          <w:szCs w:val="22"/>
        </w:rPr>
      </w:pPr>
      <w:r>
        <w:rPr>
          <w:rFonts w:ascii="Mangal Pro" w:hAnsi="Mangal Pro" w:cs="Mangal Pro"/>
          <w:b/>
          <w:sz w:val="22"/>
          <w:szCs w:val="22"/>
        </w:rPr>
        <w:t xml:space="preserve">Section 4: </w:t>
      </w:r>
      <w:r w:rsidR="005201B2">
        <w:rPr>
          <w:rFonts w:ascii="Mangal Pro" w:hAnsi="Mangal Pro" w:cs="Mangal Pro"/>
          <w:b/>
          <w:sz w:val="22"/>
          <w:szCs w:val="22"/>
        </w:rPr>
        <w:tab/>
      </w:r>
      <w:r>
        <w:rPr>
          <w:rFonts w:ascii="Mangal Pro" w:hAnsi="Mangal Pro" w:cs="Mangal Pro"/>
          <w:b/>
          <w:sz w:val="22"/>
          <w:szCs w:val="22"/>
        </w:rPr>
        <w:t>Executive Summary</w:t>
      </w:r>
    </w:p>
    <w:p w14:paraId="7D18C1B2" w14:textId="6FAE37F9" w:rsidR="00A23206" w:rsidRDefault="00A23206" w:rsidP="005201B2">
      <w:pPr>
        <w:pStyle w:val="BodyText"/>
        <w:spacing w:line="360" w:lineRule="auto"/>
        <w:rPr>
          <w:rFonts w:ascii="Mangal Pro" w:hAnsi="Mangal Pro" w:cs="Mangal Pro"/>
          <w:b/>
          <w:sz w:val="22"/>
          <w:szCs w:val="22"/>
        </w:rPr>
      </w:pPr>
      <w:r>
        <w:rPr>
          <w:rFonts w:ascii="Mangal Pro" w:hAnsi="Mangal Pro" w:cs="Mangal Pro"/>
          <w:b/>
          <w:sz w:val="22"/>
          <w:szCs w:val="22"/>
        </w:rPr>
        <w:t xml:space="preserve">Section 5: </w:t>
      </w:r>
      <w:r w:rsidR="005201B2">
        <w:rPr>
          <w:rFonts w:ascii="Mangal Pro" w:hAnsi="Mangal Pro" w:cs="Mangal Pro"/>
          <w:b/>
          <w:sz w:val="22"/>
          <w:szCs w:val="22"/>
        </w:rPr>
        <w:tab/>
      </w:r>
      <w:r>
        <w:rPr>
          <w:rFonts w:ascii="Mangal Pro" w:hAnsi="Mangal Pro" w:cs="Mangal Pro"/>
          <w:b/>
          <w:sz w:val="22"/>
          <w:szCs w:val="22"/>
        </w:rPr>
        <w:t xml:space="preserve">Student </w:t>
      </w:r>
      <w:r w:rsidR="005201B2">
        <w:rPr>
          <w:rFonts w:ascii="Mangal Pro" w:hAnsi="Mangal Pro" w:cs="Mangal Pro"/>
          <w:b/>
          <w:sz w:val="22"/>
          <w:szCs w:val="22"/>
        </w:rPr>
        <w:t>Population Experiencing Disproportionate Impact</w:t>
      </w:r>
    </w:p>
    <w:p w14:paraId="4CD63D34" w14:textId="09A64286" w:rsidR="005201B2" w:rsidRDefault="005201B2" w:rsidP="005201B2">
      <w:pPr>
        <w:pStyle w:val="BodyText"/>
        <w:spacing w:line="360" w:lineRule="auto"/>
        <w:rPr>
          <w:rFonts w:ascii="Mangal Pro" w:hAnsi="Mangal Pro" w:cs="Mangal Pro"/>
          <w:b/>
          <w:sz w:val="22"/>
          <w:szCs w:val="22"/>
        </w:rPr>
      </w:pPr>
      <w:r>
        <w:rPr>
          <w:rFonts w:ascii="Mangal Pro" w:hAnsi="Mangal Pro" w:cs="Mangal Pro"/>
          <w:b/>
          <w:sz w:val="22"/>
          <w:szCs w:val="22"/>
        </w:rPr>
        <w:t xml:space="preserve">Section 6: </w:t>
      </w:r>
      <w:r>
        <w:rPr>
          <w:rFonts w:ascii="Mangal Pro" w:hAnsi="Mangal Pro" w:cs="Mangal Pro"/>
          <w:b/>
          <w:sz w:val="22"/>
          <w:szCs w:val="22"/>
        </w:rPr>
        <w:tab/>
        <w:t>Metric 1 – Successful Enrollment</w:t>
      </w:r>
    </w:p>
    <w:p w14:paraId="51B020E5" w14:textId="63302E91" w:rsidR="005201B2" w:rsidRDefault="005201B2" w:rsidP="005201B2">
      <w:pPr>
        <w:pStyle w:val="BodyText"/>
        <w:spacing w:line="360" w:lineRule="auto"/>
        <w:rPr>
          <w:rFonts w:ascii="Mangal Pro" w:hAnsi="Mangal Pro" w:cs="Mangal Pro"/>
          <w:b/>
          <w:sz w:val="22"/>
          <w:szCs w:val="22"/>
        </w:rPr>
      </w:pPr>
      <w:r>
        <w:rPr>
          <w:rFonts w:ascii="Mangal Pro" w:hAnsi="Mangal Pro" w:cs="Mangal Pro"/>
          <w:b/>
          <w:sz w:val="22"/>
          <w:szCs w:val="22"/>
        </w:rPr>
        <w:t xml:space="preserve">Section 7: </w:t>
      </w:r>
      <w:r>
        <w:rPr>
          <w:rFonts w:ascii="Mangal Pro" w:hAnsi="Mangal Pro" w:cs="Mangal Pro"/>
          <w:b/>
          <w:sz w:val="22"/>
          <w:szCs w:val="22"/>
        </w:rPr>
        <w:tab/>
        <w:t xml:space="preserve">Metric 2 – Completed Both Transfer Level Math and English </w:t>
      </w:r>
    </w:p>
    <w:p w14:paraId="299212D8" w14:textId="61CD22C6" w:rsidR="005201B2" w:rsidRDefault="005201B2" w:rsidP="005201B2">
      <w:pPr>
        <w:pStyle w:val="BodyText"/>
        <w:spacing w:line="360" w:lineRule="auto"/>
        <w:rPr>
          <w:rFonts w:ascii="Mangal Pro" w:hAnsi="Mangal Pro" w:cs="Mangal Pro"/>
          <w:b/>
          <w:sz w:val="22"/>
          <w:szCs w:val="22"/>
        </w:rPr>
      </w:pPr>
      <w:r>
        <w:rPr>
          <w:rFonts w:ascii="Mangal Pro" w:hAnsi="Mangal Pro" w:cs="Mangal Pro"/>
          <w:b/>
          <w:sz w:val="22"/>
          <w:szCs w:val="22"/>
        </w:rPr>
        <w:t xml:space="preserve">Section 8: </w:t>
      </w:r>
      <w:r>
        <w:rPr>
          <w:rFonts w:ascii="Mangal Pro" w:hAnsi="Mangal Pro" w:cs="Mangal Pro"/>
          <w:b/>
          <w:sz w:val="22"/>
          <w:szCs w:val="22"/>
        </w:rPr>
        <w:tab/>
        <w:t>Metric 3 – Term to Term Persistence</w:t>
      </w:r>
    </w:p>
    <w:p w14:paraId="36ECDAF7" w14:textId="15BBEF0F" w:rsidR="005201B2" w:rsidRDefault="005201B2" w:rsidP="005201B2">
      <w:pPr>
        <w:pStyle w:val="BodyText"/>
        <w:spacing w:line="360" w:lineRule="auto"/>
        <w:rPr>
          <w:rFonts w:ascii="Mangal Pro" w:hAnsi="Mangal Pro" w:cs="Mangal Pro"/>
          <w:b/>
          <w:sz w:val="22"/>
          <w:szCs w:val="22"/>
        </w:rPr>
      </w:pPr>
      <w:r>
        <w:rPr>
          <w:rFonts w:ascii="Mangal Pro" w:hAnsi="Mangal Pro" w:cs="Mangal Pro"/>
          <w:b/>
          <w:sz w:val="22"/>
          <w:szCs w:val="22"/>
        </w:rPr>
        <w:t xml:space="preserve">Section 9: </w:t>
      </w:r>
      <w:r>
        <w:rPr>
          <w:rFonts w:ascii="Mangal Pro" w:hAnsi="Mangal Pro" w:cs="Mangal Pro"/>
          <w:b/>
          <w:sz w:val="22"/>
          <w:szCs w:val="22"/>
        </w:rPr>
        <w:tab/>
        <w:t>Metric 4 – Vision Goal Completion</w:t>
      </w:r>
    </w:p>
    <w:p w14:paraId="3DE68CD1" w14:textId="65CEBFDB" w:rsidR="005201B2" w:rsidRDefault="005201B2" w:rsidP="005201B2">
      <w:pPr>
        <w:pStyle w:val="BodyText"/>
        <w:spacing w:line="360" w:lineRule="auto"/>
        <w:rPr>
          <w:rFonts w:ascii="Mangal Pro" w:hAnsi="Mangal Pro" w:cs="Mangal Pro"/>
          <w:b/>
          <w:sz w:val="22"/>
          <w:szCs w:val="22"/>
        </w:rPr>
      </w:pPr>
      <w:r>
        <w:rPr>
          <w:rFonts w:ascii="Mangal Pro" w:hAnsi="Mangal Pro" w:cs="Mangal Pro"/>
          <w:b/>
          <w:sz w:val="22"/>
          <w:szCs w:val="22"/>
        </w:rPr>
        <w:t xml:space="preserve">Section 10: </w:t>
      </w:r>
      <w:r>
        <w:rPr>
          <w:rFonts w:ascii="Mangal Pro" w:hAnsi="Mangal Pro" w:cs="Mangal Pro"/>
          <w:b/>
          <w:sz w:val="22"/>
          <w:szCs w:val="22"/>
        </w:rPr>
        <w:tab/>
        <w:t>Metric 5 – Transfer to a 4-year University</w:t>
      </w:r>
    </w:p>
    <w:p w14:paraId="3DCC644A" w14:textId="672971A4" w:rsidR="006C5936" w:rsidRDefault="006C5936" w:rsidP="005201B2">
      <w:pPr>
        <w:pStyle w:val="BodyText"/>
        <w:spacing w:line="360" w:lineRule="auto"/>
        <w:rPr>
          <w:rFonts w:ascii="Mangal Pro" w:hAnsi="Mangal Pro" w:cs="Mangal Pro"/>
          <w:b/>
          <w:sz w:val="22"/>
          <w:szCs w:val="22"/>
        </w:rPr>
      </w:pPr>
      <w:r>
        <w:rPr>
          <w:rFonts w:ascii="Mangal Pro" w:hAnsi="Mangal Pro" w:cs="Mangal Pro"/>
          <w:b/>
          <w:sz w:val="22"/>
          <w:szCs w:val="22"/>
        </w:rPr>
        <w:t xml:space="preserve">Section 11: </w:t>
      </w:r>
      <w:r>
        <w:rPr>
          <w:rFonts w:ascii="Mangal Pro" w:hAnsi="Mangal Pro" w:cs="Mangal Pro"/>
          <w:b/>
          <w:sz w:val="22"/>
          <w:szCs w:val="22"/>
        </w:rPr>
        <w:tab/>
        <w:t>Intensive Focus on Population(s) Experiencing Disproportionate Impact</w:t>
      </w:r>
    </w:p>
    <w:p w14:paraId="6D5B86B9" w14:textId="0FD1E7EB" w:rsidR="006C5936" w:rsidRDefault="006C5936" w:rsidP="005201B2">
      <w:pPr>
        <w:pStyle w:val="BodyText"/>
        <w:spacing w:line="360" w:lineRule="auto"/>
        <w:rPr>
          <w:rFonts w:ascii="Mangal Pro" w:hAnsi="Mangal Pro" w:cs="Mangal Pro"/>
          <w:b/>
          <w:sz w:val="22"/>
          <w:szCs w:val="22"/>
        </w:rPr>
      </w:pPr>
      <w:r>
        <w:rPr>
          <w:rFonts w:ascii="Mangal Pro" w:hAnsi="Mangal Pro" w:cs="Mangal Pro"/>
          <w:b/>
          <w:sz w:val="22"/>
          <w:szCs w:val="22"/>
        </w:rPr>
        <w:t>Section 12:</w:t>
      </w:r>
      <w:r>
        <w:rPr>
          <w:rFonts w:ascii="Mangal Pro" w:hAnsi="Mangal Pro" w:cs="Mangal Pro"/>
          <w:b/>
          <w:sz w:val="22"/>
          <w:szCs w:val="22"/>
        </w:rPr>
        <w:tab/>
        <w:t>Student Education Plans</w:t>
      </w:r>
    </w:p>
    <w:p w14:paraId="530CCA20" w14:textId="31B8B09A" w:rsidR="006C5936" w:rsidRDefault="006C5936" w:rsidP="005201B2">
      <w:pPr>
        <w:pStyle w:val="BodyText"/>
        <w:spacing w:line="360" w:lineRule="auto"/>
        <w:rPr>
          <w:rFonts w:ascii="Mangal Pro" w:hAnsi="Mangal Pro" w:cs="Mangal Pro"/>
          <w:b/>
          <w:sz w:val="22"/>
          <w:szCs w:val="22"/>
        </w:rPr>
      </w:pPr>
      <w:r>
        <w:rPr>
          <w:rFonts w:ascii="Mangal Pro" w:hAnsi="Mangal Pro" w:cs="Mangal Pro"/>
          <w:b/>
          <w:sz w:val="22"/>
          <w:szCs w:val="22"/>
        </w:rPr>
        <w:t>Section 13:</w:t>
      </w:r>
      <w:r>
        <w:rPr>
          <w:rFonts w:ascii="Mangal Pro" w:hAnsi="Mangal Pro" w:cs="Mangal Pro"/>
          <w:b/>
          <w:sz w:val="22"/>
          <w:szCs w:val="22"/>
        </w:rPr>
        <w:tab/>
        <w:t>Vision 2030 Equity Alignment and Coordination</w:t>
      </w:r>
    </w:p>
    <w:p w14:paraId="7C338969" w14:textId="02671658" w:rsidR="006C5936" w:rsidRDefault="006C5936" w:rsidP="005201B2">
      <w:pPr>
        <w:pStyle w:val="BodyText"/>
        <w:spacing w:line="360" w:lineRule="auto"/>
        <w:rPr>
          <w:rFonts w:ascii="Mangal Pro" w:hAnsi="Mangal Pro" w:cs="Mangal Pro"/>
          <w:b/>
          <w:sz w:val="22"/>
          <w:szCs w:val="22"/>
        </w:rPr>
      </w:pPr>
      <w:r>
        <w:rPr>
          <w:rFonts w:ascii="Mangal Pro" w:hAnsi="Mangal Pro" w:cs="Mangal Pro"/>
          <w:b/>
          <w:sz w:val="22"/>
          <w:szCs w:val="22"/>
        </w:rPr>
        <w:t>Section 14:</w:t>
      </w:r>
      <w:r>
        <w:rPr>
          <w:rFonts w:ascii="Mangal Pro" w:hAnsi="Mangal Pro" w:cs="Mangal Pro"/>
          <w:b/>
          <w:sz w:val="22"/>
          <w:szCs w:val="22"/>
        </w:rPr>
        <w:tab/>
        <w:t>Preview and Submit</w:t>
      </w:r>
    </w:p>
    <w:p w14:paraId="30800575" w14:textId="77777777" w:rsidR="006C5936" w:rsidRDefault="006C5936" w:rsidP="005201B2">
      <w:pPr>
        <w:pStyle w:val="BodyText"/>
        <w:spacing w:line="360" w:lineRule="auto"/>
        <w:rPr>
          <w:rFonts w:ascii="Mangal Pro" w:hAnsi="Mangal Pro" w:cs="Mangal Pro"/>
          <w:b/>
          <w:sz w:val="22"/>
          <w:szCs w:val="22"/>
        </w:rPr>
      </w:pPr>
    </w:p>
    <w:p w14:paraId="46E256CF" w14:textId="77777777" w:rsidR="006C5936" w:rsidRDefault="006C5936" w:rsidP="005201B2">
      <w:pPr>
        <w:pStyle w:val="BodyText"/>
        <w:spacing w:line="360" w:lineRule="auto"/>
        <w:rPr>
          <w:rFonts w:ascii="Mangal Pro" w:hAnsi="Mangal Pro" w:cs="Mangal Pro"/>
          <w:b/>
          <w:sz w:val="22"/>
          <w:szCs w:val="22"/>
        </w:rPr>
      </w:pPr>
    </w:p>
    <w:p w14:paraId="304B0296" w14:textId="77777777" w:rsidR="005201B2" w:rsidRPr="00A23206" w:rsidRDefault="005201B2" w:rsidP="000013C6">
      <w:pPr>
        <w:pStyle w:val="BodyText"/>
        <w:rPr>
          <w:rFonts w:ascii="Mangal Pro" w:hAnsi="Mangal Pro" w:cs="Mangal Pro"/>
          <w:b/>
          <w:sz w:val="22"/>
          <w:szCs w:val="22"/>
        </w:rPr>
      </w:pPr>
    </w:p>
    <w:p w14:paraId="633F3E53" w14:textId="77777777" w:rsidR="00FA068A" w:rsidRDefault="00FA068A" w:rsidP="0077194F">
      <w:pPr>
        <w:spacing w:line="240" w:lineRule="auto"/>
        <w:contextualSpacing/>
        <w:jc w:val="center"/>
        <w:rPr>
          <w:rFonts w:ascii="Mangal Pro" w:hAnsi="Mangal Pro" w:cs="Mangal Pro"/>
          <w:b/>
          <w:bCs/>
        </w:rPr>
      </w:pPr>
    </w:p>
    <w:p w14:paraId="15720042" w14:textId="0BEDE212" w:rsidR="00FA068A" w:rsidRPr="006F2C88" w:rsidRDefault="00D747A8" w:rsidP="00805336">
      <w:pPr>
        <w:spacing w:line="240" w:lineRule="auto"/>
        <w:contextualSpacing/>
        <w:rPr>
          <w:rFonts w:ascii="Mangal Pro" w:hAnsi="Mangal Pro" w:cs="Mangal Pro"/>
          <w:b/>
          <w:bCs/>
          <w:sz w:val="36"/>
          <w:szCs w:val="36"/>
        </w:rPr>
      </w:pPr>
      <w:r w:rsidRPr="006F2C88">
        <w:rPr>
          <w:rFonts w:ascii="Mangal Pro" w:hAnsi="Mangal Pro" w:cs="Mangal Pro"/>
          <w:b/>
          <w:bCs/>
          <w:sz w:val="36"/>
          <w:szCs w:val="36"/>
        </w:rPr>
        <w:lastRenderedPageBreak/>
        <w:t xml:space="preserve">Section 1: </w:t>
      </w:r>
      <w:r w:rsidR="00146B7F" w:rsidRPr="006F2C88">
        <w:rPr>
          <w:rFonts w:ascii="Mangal Pro" w:hAnsi="Mangal Pro" w:cs="Mangal Pro"/>
          <w:b/>
          <w:bCs/>
          <w:sz w:val="36"/>
          <w:szCs w:val="36"/>
        </w:rPr>
        <w:t>ASSURANCES AND REFLECTION</w:t>
      </w:r>
    </w:p>
    <w:p w14:paraId="25261C68" w14:textId="77777777" w:rsidR="00146B7F" w:rsidRDefault="00146B7F" w:rsidP="00805336">
      <w:pPr>
        <w:spacing w:line="240" w:lineRule="auto"/>
        <w:contextualSpacing/>
        <w:rPr>
          <w:rFonts w:ascii="Mangal Pro" w:hAnsi="Mangal Pro" w:cs="Mangal Pro"/>
          <w:b/>
          <w:bCs/>
        </w:rPr>
      </w:pPr>
    </w:p>
    <w:p w14:paraId="5988EE1D" w14:textId="392F1CD5" w:rsidR="00146B7F" w:rsidRDefault="00146B7F" w:rsidP="00805336">
      <w:pPr>
        <w:spacing w:line="240" w:lineRule="auto"/>
        <w:contextualSpacing/>
        <w:rPr>
          <w:rFonts w:ascii="Mangal Pro" w:hAnsi="Mangal Pro" w:cs="Mangal Pro"/>
          <w:b/>
          <w:bCs/>
        </w:rPr>
      </w:pPr>
      <w:r>
        <w:rPr>
          <w:rFonts w:ascii="Mangal Pro" w:hAnsi="Mangal Pro" w:cs="Mangal Pro"/>
          <w:b/>
          <w:bCs/>
        </w:rPr>
        <w:t>Assurances</w:t>
      </w:r>
    </w:p>
    <w:p w14:paraId="2E6E437A" w14:textId="7EAF8F96" w:rsidR="00146B7F" w:rsidRPr="00146B7F" w:rsidRDefault="00146B7F" w:rsidP="00805336">
      <w:pPr>
        <w:spacing w:line="240" w:lineRule="auto"/>
        <w:contextualSpacing/>
        <w:rPr>
          <w:rFonts w:ascii="Mangal Pro" w:hAnsi="Mangal Pro" w:cs="Mangal Pro"/>
        </w:rPr>
      </w:pPr>
      <w:r>
        <w:rPr>
          <w:rFonts w:ascii="Mangal Pro" w:hAnsi="Mangal Pro" w:cs="Mangal Pro"/>
        </w:rPr>
        <w:t xml:space="preserve">Please attest </w:t>
      </w:r>
      <w:r w:rsidR="008435DE">
        <w:rPr>
          <w:rFonts w:ascii="Mangal Pro" w:hAnsi="Mangal Pro" w:cs="Mangal Pro"/>
        </w:rPr>
        <w:t xml:space="preserve">to </w:t>
      </w:r>
      <w:r>
        <w:rPr>
          <w:rFonts w:ascii="Mangal Pro" w:hAnsi="Mangal Pro" w:cs="Mangal Pro"/>
        </w:rPr>
        <w:t xml:space="preserve">the following assurances and answer </w:t>
      </w:r>
      <w:r w:rsidR="008435DE">
        <w:rPr>
          <w:rFonts w:ascii="Mangal Pro" w:hAnsi="Mangal Pro" w:cs="Mangal Pro"/>
        </w:rPr>
        <w:t>its</w:t>
      </w:r>
      <w:r>
        <w:rPr>
          <w:rFonts w:ascii="Mangal Pro" w:hAnsi="Mangal Pro" w:cs="Mangal Pro"/>
        </w:rPr>
        <w:t xml:space="preserve"> associated question.</w:t>
      </w:r>
      <w:r w:rsidR="008435DE">
        <w:rPr>
          <w:rFonts w:ascii="Mangal Pro" w:hAnsi="Mangal Pro" w:cs="Mangal Pro"/>
        </w:rPr>
        <w:t xml:space="preserve"> </w:t>
      </w:r>
    </w:p>
    <w:p w14:paraId="71B9D3CF" w14:textId="1B5D63E5" w:rsidR="00020154" w:rsidRPr="009658D3" w:rsidRDefault="00020154" w:rsidP="00916F67">
      <w:pPr>
        <w:spacing w:line="240" w:lineRule="auto"/>
        <w:contextualSpacing/>
        <w:rPr>
          <w:rFonts w:ascii="Mangal Pro" w:hAnsi="Mangal Pro" w:cs="Mangal Pro"/>
          <w:b/>
          <w:bCs/>
          <w:sz w:val="22"/>
          <w:szCs w:val="22"/>
        </w:rPr>
      </w:pPr>
    </w:p>
    <w:p w14:paraId="2CE1F0D0" w14:textId="1274C6D5" w:rsidR="00030BDC" w:rsidRPr="001938E9" w:rsidRDefault="002037A0" w:rsidP="00030BDC">
      <w:pPr>
        <w:pStyle w:val="ListParagraph"/>
        <w:numPr>
          <w:ilvl w:val="0"/>
          <w:numId w:val="41"/>
        </w:numPr>
        <w:spacing w:line="240" w:lineRule="auto"/>
        <w:ind w:right="1078"/>
        <w:jc w:val="both"/>
        <w:rPr>
          <w:rFonts w:ascii="Mangal Pro" w:hAnsi="Mangal Pro" w:cs="Mangal Pro"/>
          <w:sz w:val="22"/>
          <w:szCs w:val="22"/>
        </w:rPr>
      </w:pPr>
      <w:r w:rsidRPr="001938E9">
        <w:rPr>
          <w:rFonts w:ascii="Mangal Pro" w:hAnsi="Mangal Pro" w:cs="Mangal Pro"/>
          <w:color w:val="333333"/>
          <w:sz w:val="22"/>
          <w:szCs w:val="22"/>
        </w:rPr>
        <w:t>I have read the legislation</w:t>
      </w:r>
      <w:r w:rsidRPr="001938E9">
        <w:rPr>
          <w:rFonts w:ascii="Mangal Pro" w:hAnsi="Mangal Pro" w:cs="Mangal Pro"/>
          <w:color w:val="333333"/>
          <w:spacing w:val="-2"/>
          <w:sz w:val="22"/>
          <w:szCs w:val="22"/>
        </w:rPr>
        <w:t xml:space="preserve"> </w:t>
      </w:r>
      <w:hyperlink r:id="rId9">
        <w:r w:rsidRPr="001938E9">
          <w:rPr>
            <w:rFonts w:ascii="Mangal Pro" w:hAnsi="Mangal Pro" w:cs="Mangal Pro"/>
            <w:color w:val="1D3767"/>
            <w:sz w:val="22"/>
            <w:szCs w:val="22"/>
            <w:u w:val="single" w:color="1D3767"/>
          </w:rPr>
          <w:t>Education Code 78220</w:t>
        </w:r>
      </w:hyperlink>
      <w:r w:rsidRPr="001938E9">
        <w:rPr>
          <w:rFonts w:ascii="Mangal Pro" w:hAnsi="Mangal Pro" w:cs="Mangal Pro"/>
          <w:color w:val="1D3767"/>
          <w:spacing w:val="-2"/>
          <w:sz w:val="22"/>
          <w:szCs w:val="22"/>
        </w:rPr>
        <w:t xml:space="preserve"> </w:t>
      </w:r>
      <w:r w:rsidRPr="001938E9">
        <w:rPr>
          <w:rFonts w:ascii="Mangal Pro" w:hAnsi="Mangal Pro" w:cs="Mangal Pro"/>
          <w:color w:val="333333"/>
          <w:sz w:val="22"/>
          <w:szCs w:val="22"/>
        </w:rPr>
        <w:t>and</w:t>
      </w:r>
      <w:r w:rsidRPr="001938E9">
        <w:rPr>
          <w:rFonts w:ascii="Mangal Pro" w:hAnsi="Mangal Pro" w:cs="Mangal Pro"/>
          <w:color w:val="333333"/>
          <w:spacing w:val="-2"/>
          <w:sz w:val="22"/>
          <w:szCs w:val="22"/>
        </w:rPr>
        <w:t xml:space="preserve"> </w:t>
      </w:r>
      <w:hyperlink r:id="rId10">
        <w:r w:rsidRPr="001938E9">
          <w:rPr>
            <w:rFonts w:ascii="Mangal Pro" w:hAnsi="Mangal Pro" w:cs="Mangal Pro"/>
            <w:color w:val="1D3767"/>
            <w:sz w:val="22"/>
            <w:szCs w:val="22"/>
            <w:u w:val="single" w:color="1D3767"/>
          </w:rPr>
          <w:t>Education Code 78222</w:t>
        </w:r>
      </w:hyperlink>
      <w:r w:rsidRPr="001938E9">
        <w:rPr>
          <w:rFonts w:ascii="Mangal Pro" w:hAnsi="Mangal Pro" w:cs="Mangal Pro"/>
          <w:color w:val="1D3767"/>
          <w:spacing w:val="-2"/>
          <w:sz w:val="22"/>
          <w:szCs w:val="22"/>
        </w:rPr>
        <w:t xml:space="preserve"> </w:t>
      </w:r>
      <w:r w:rsidRPr="001938E9">
        <w:rPr>
          <w:rFonts w:ascii="Mangal Pro" w:hAnsi="Mangal Pro" w:cs="Mangal Pro"/>
          <w:color w:val="333333"/>
          <w:sz w:val="22"/>
          <w:szCs w:val="22"/>
        </w:rPr>
        <w:t>am familiar with</w:t>
      </w:r>
      <w:r w:rsidRPr="001938E9">
        <w:rPr>
          <w:rFonts w:ascii="Mangal Pro" w:hAnsi="Mangal Pro" w:cs="Mangal Pro"/>
          <w:color w:val="333333"/>
          <w:spacing w:val="-15"/>
          <w:sz w:val="22"/>
          <w:szCs w:val="22"/>
        </w:rPr>
        <w:t xml:space="preserve"> </w:t>
      </w:r>
      <w:r w:rsidRPr="001938E9">
        <w:rPr>
          <w:rFonts w:ascii="Mangal Pro" w:hAnsi="Mangal Pro" w:cs="Mangal Pro"/>
          <w:color w:val="333333"/>
          <w:sz w:val="22"/>
          <w:szCs w:val="22"/>
        </w:rPr>
        <w:t>the</w:t>
      </w:r>
      <w:r w:rsidRPr="001938E9">
        <w:rPr>
          <w:rFonts w:ascii="Mangal Pro" w:hAnsi="Mangal Pro" w:cs="Mangal Pro"/>
          <w:color w:val="333333"/>
          <w:spacing w:val="-15"/>
          <w:sz w:val="22"/>
          <w:szCs w:val="22"/>
        </w:rPr>
        <w:t xml:space="preserve"> </w:t>
      </w:r>
      <w:r w:rsidRPr="001938E9">
        <w:rPr>
          <w:rFonts w:ascii="Mangal Pro" w:hAnsi="Mangal Pro" w:cs="Mangal Pro"/>
          <w:color w:val="333333"/>
          <w:sz w:val="22"/>
          <w:szCs w:val="22"/>
        </w:rPr>
        <w:t>goals,</w:t>
      </w:r>
      <w:r w:rsidRPr="001938E9">
        <w:rPr>
          <w:rFonts w:ascii="Mangal Pro" w:hAnsi="Mangal Pro" w:cs="Mangal Pro"/>
          <w:color w:val="333333"/>
          <w:spacing w:val="-15"/>
          <w:sz w:val="22"/>
          <w:szCs w:val="22"/>
        </w:rPr>
        <w:t xml:space="preserve"> </w:t>
      </w:r>
      <w:r w:rsidRPr="001938E9">
        <w:rPr>
          <w:rFonts w:ascii="Mangal Pro" w:hAnsi="Mangal Pro" w:cs="Mangal Pro"/>
          <w:color w:val="333333"/>
          <w:sz w:val="22"/>
          <w:szCs w:val="22"/>
        </w:rPr>
        <w:t>terms,</w:t>
      </w:r>
      <w:r w:rsidRPr="001938E9">
        <w:rPr>
          <w:rFonts w:ascii="Mangal Pro" w:hAnsi="Mangal Pro" w:cs="Mangal Pro"/>
          <w:color w:val="333333"/>
          <w:spacing w:val="-15"/>
          <w:sz w:val="22"/>
          <w:szCs w:val="22"/>
        </w:rPr>
        <w:t xml:space="preserve"> </w:t>
      </w:r>
      <w:r w:rsidRPr="001938E9">
        <w:rPr>
          <w:rFonts w:ascii="Mangal Pro" w:hAnsi="Mangal Pro" w:cs="Mangal Pro"/>
          <w:color w:val="333333"/>
          <w:sz w:val="22"/>
          <w:szCs w:val="22"/>
        </w:rPr>
        <w:t>and</w:t>
      </w:r>
      <w:r w:rsidRPr="001938E9">
        <w:rPr>
          <w:rFonts w:ascii="Mangal Pro" w:hAnsi="Mangal Pro" w:cs="Mangal Pro"/>
          <w:color w:val="333333"/>
          <w:spacing w:val="-15"/>
          <w:sz w:val="22"/>
          <w:szCs w:val="22"/>
        </w:rPr>
        <w:t xml:space="preserve"> </w:t>
      </w:r>
      <w:r w:rsidRPr="001938E9">
        <w:rPr>
          <w:rFonts w:ascii="Mangal Pro" w:hAnsi="Mangal Pro" w:cs="Mangal Pro"/>
          <w:color w:val="333333"/>
          <w:sz w:val="22"/>
          <w:szCs w:val="22"/>
        </w:rPr>
        <w:t>conditions</w:t>
      </w:r>
      <w:r w:rsidRPr="001938E9">
        <w:rPr>
          <w:rFonts w:ascii="Mangal Pro" w:hAnsi="Mangal Pro" w:cs="Mangal Pro"/>
          <w:color w:val="333333"/>
          <w:spacing w:val="-15"/>
          <w:sz w:val="22"/>
          <w:szCs w:val="22"/>
        </w:rPr>
        <w:t xml:space="preserve"> </w:t>
      </w:r>
      <w:r w:rsidRPr="001938E9">
        <w:rPr>
          <w:rFonts w:ascii="Mangal Pro" w:hAnsi="Mangal Pro" w:cs="Mangal Pro"/>
          <w:color w:val="333333"/>
          <w:sz w:val="22"/>
          <w:szCs w:val="22"/>
        </w:rPr>
        <w:t>of</w:t>
      </w:r>
      <w:r w:rsidRPr="001938E9">
        <w:rPr>
          <w:rFonts w:ascii="Mangal Pro" w:hAnsi="Mangal Pro" w:cs="Mangal Pro"/>
          <w:color w:val="333333"/>
          <w:spacing w:val="-15"/>
          <w:sz w:val="22"/>
          <w:szCs w:val="22"/>
        </w:rPr>
        <w:t xml:space="preserve"> </w:t>
      </w:r>
      <w:r w:rsidRPr="001938E9">
        <w:rPr>
          <w:rFonts w:ascii="Mangal Pro" w:hAnsi="Mangal Pro" w:cs="Mangal Pro"/>
          <w:color w:val="333333"/>
          <w:sz w:val="22"/>
          <w:szCs w:val="22"/>
        </w:rPr>
        <w:t>the</w:t>
      </w:r>
      <w:r w:rsidRPr="001938E9">
        <w:rPr>
          <w:rFonts w:ascii="Mangal Pro" w:hAnsi="Mangal Pro" w:cs="Mangal Pro"/>
          <w:color w:val="333333"/>
          <w:spacing w:val="-15"/>
          <w:sz w:val="22"/>
          <w:szCs w:val="22"/>
        </w:rPr>
        <w:t xml:space="preserve"> </w:t>
      </w:r>
      <w:r w:rsidRPr="001938E9">
        <w:rPr>
          <w:rFonts w:ascii="Mangal Pro" w:hAnsi="Mangal Pro" w:cs="Mangal Pro"/>
          <w:color w:val="333333"/>
          <w:sz w:val="22"/>
          <w:szCs w:val="22"/>
        </w:rPr>
        <w:t>Student</w:t>
      </w:r>
      <w:r w:rsidRPr="001938E9">
        <w:rPr>
          <w:rFonts w:ascii="Mangal Pro" w:hAnsi="Mangal Pro" w:cs="Mangal Pro"/>
          <w:color w:val="333333"/>
          <w:spacing w:val="-15"/>
          <w:sz w:val="22"/>
          <w:szCs w:val="22"/>
        </w:rPr>
        <w:t xml:space="preserve"> </w:t>
      </w:r>
      <w:r w:rsidRPr="001938E9">
        <w:rPr>
          <w:rFonts w:ascii="Mangal Pro" w:hAnsi="Mangal Pro" w:cs="Mangal Pro"/>
          <w:color w:val="333333"/>
          <w:sz w:val="22"/>
          <w:szCs w:val="22"/>
        </w:rPr>
        <w:t>Equity</w:t>
      </w:r>
      <w:r w:rsidRPr="001938E9">
        <w:rPr>
          <w:rFonts w:ascii="Mangal Pro" w:hAnsi="Mangal Pro" w:cs="Mangal Pro"/>
          <w:color w:val="333333"/>
          <w:spacing w:val="-15"/>
          <w:sz w:val="22"/>
          <w:szCs w:val="22"/>
        </w:rPr>
        <w:t xml:space="preserve"> </w:t>
      </w:r>
      <w:r w:rsidRPr="001938E9">
        <w:rPr>
          <w:rFonts w:ascii="Mangal Pro" w:hAnsi="Mangal Pro" w:cs="Mangal Pro"/>
          <w:color w:val="333333"/>
          <w:sz w:val="22"/>
          <w:szCs w:val="22"/>
        </w:rPr>
        <w:t>Plan,</w:t>
      </w:r>
      <w:r w:rsidRPr="001938E9">
        <w:rPr>
          <w:rFonts w:ascii="Mangal Pro" w:hAnsi="Mangal Pro" w:cs="Mangal Pro"/>
          <w:color w:val="333333"/>
          <w:spacing w:val="-15"/>
          <w:sz w:val="22"/>
          <w:szCs w:val="22"/>
        </w:rPr>
        <w:t xml:space="preserve"> </w:t>
      </w:r>
      <w:r w:rsidRPr="001938E9">
        <w:rPr>
          <w:rFonts w:ascii="Mangal Pro" w:hAnsi="Mangal Pro" w:cs="Mangal Pro"/>
          <w:color w:val="333333"/>
          <w:sz w:val="22"/>
          <w:szCs w:val="22"/>
        </w:rPr>
        <w:t>as</w:t>
      </w:r>
      <w:r w:rsidRPr="001938E9">
        <w:rPr>
          <w:rFonts w:ascii="Mangal Pro" w:hAnsi="Mangal Pro" w:cs="Mangal Pro"/>
          <w:color w:val="333333"/>
          <w:spacing w:val="-15"/>
          <w:sz w:val="22"/>
          <w:szCs w:val="22"/>
        </w:rPr>
        <w:t xml:space="preserve"> </w:t>
      </w:r>
      <w:r w:rsidRPr="001938E9">
        <w:rPr>
          <w:rFonts w:ascii="Mangal Pro" w:hAnsi="Mangal Pro" w:cs="Mangal Pro"/>
          <w:color w:val="333333"/>
          <w:sz w:val="22"/>
          <w:szCs w:val="22"/>
        </w:rPr>
        <w:t>well</w:t>
      </w:r>
      <w:r w:rsidRPr="001938E9">
        <w:rPr>
          <w:rFonts w:ascii="Mangal Pro" w:hAnsi="Mangal Pro" w:cs="Mangal Pro"/>
          <w:color w:val="333333"/>
          <w:spacing w:val="-15"/>
          <w:sz w:val="22"/>
          <w:szCs w:val="22"/>
        </w:rPr>
        <w:t xml:space="preserve"> </w:t>
      </w:r>
      <w:r w:rsidRPr="001938E9">
        <w:rPr>
          <w:rFonts w:ascii="Mangal Pro" w:hAnsi="Mangal Pro" w:cs="Mangal Pro"/>
          <w:color w:val="333333"/>
          <w:sz w:val="22"/>
          <w:szCs w:val="22"/>
        </w:rPr>
        <w:t>as</w:t>
      </w:r>
      <w:r w:rsidRPr="001938E9">
        <w:rPr>
          <w:rFonts w:ascii="Mangal Pro" w:hAnsi="Mangal Pro" w:cs="Mangal Pro"/>
          <w:color w:val="333333"/>
          <w:spacing w:val="-15"/>
          <w:sz w:val="22"/>
          <w:szCs w:val="22"/>
        </w:rPr>
        <w:t xml:space="preserve"> </w:t>
      </w:r>
      <w:r w:rsidRPr="001938E9">
        <w:rPr>
          <w:rFonts w:ascii="Mangal Pro" w:hAnsi="Mangal Pro" w:cs="Mangal Pro"/>
          <w:color w:val="333333"/>
          <w:sz w:val="22"/>
          <w:szCs w:val="22"/>
        </w:rPr>
        <w:t>the</w:t>
      </w:r>
      <w:r w:rsidRPr="001938E9">
        <w:rPr>
          <w:rFonts w:ascii="Mangal Pro" w:hAnsi="Mangal Pro" w:cs="Mangal Pro"/>
          <w:color w:val="333333"/>
          <w:spacing w:val="-15"/>
          <w:sz w:val="22"/>
          <w:szCs w:val="22"/>
        </w:rPr>
        <w:t xml:space="preserve"> </w:t>
      </w:r>
      <w:r w:rsidRPr="001938E9">
        <w:rPr>
          <w:rFonts w:ascii="Mangal Pro" w:hAnsi="Mangal Pro" w:cs="Mangal Pro"/>
          <w:color w:val="333333"/>
          <w:sz w:val="22"/>
          <w:szCs w:val="22"/>
        </w:rPr>
        <w:t>requirements of Student Equity &amp; Achievement Legislation.</w:t>
      </w:r>
    </w:p>
    <w:p w14:paraId="25F43D0A" w14:textId="3D2B1D26" w:rsidR="00030BDC" w:rsidRPr="001938E9" w:rsidRDefault="00A604C8" w:rsidP="00E910D4">
      <w:pPr>
        <w:pStyle w:val="ListParagraph"/>
        <w:numPr>
          <w:ilvl w:val="0"/>
          <w:numId w:val="41"/>
        </w:numPr>
        <w:spacing w:line="240" w:lineRule="auto"/>
        <w:rPr>
          <w:rFonts w:ascii="Mangal Pro" w:hAnsi="Mangal Pro" w:cs="Mangal Pro"/>
          <w:b/>
          <w:bCs/>
          <w:sz w:val="22"/>
          <w:szCs w:val="22"/>
        </w:rPr>
      </w:pPr>
      <w:r w:rsidRPr="001938E9">
        <w:rPr>
          <w:rFonts w:ascii="Mangal Pro" w:hAnsi="Mangal Pro" w:cs="Mangal Pro"/>
          <w:color w:val="333333"/>
          <w:sz w:val="22"/>
          <w:szCs w:val="22"/>
        </w:rPr>
        <w:t>I have read the legislation</w:t>
      </w:r>
      <w:r w:rsidRPr="001938E9">
        <w:rPr>
          <w:rFonts w:ascii="Mangal Pro" w:hAnsi="Mangal Pro" w:cs="Mangal Pro"/>
          <w:color w:val="333333"/>
          <w:spacing w:val="-2"/>
          <w:sz w:val="22"/>
          <w:szCs w:val="22"/>
        </w:rPr>
        <w:t xml:space="preserve"> </w:t>
      </w:r>
      <w:hyperlink r:id="rId11">
        <w:r w:rsidRPr="001938E9">
          <w:rPr>
            <w:rFonts w:ascii="Mangal Pro" w:hAnsi="Mangal Pro" w:cs="Mangal Pro"/>
            <w:color w:val="1D3767"/>
            <w:sz w:val="22"/>
            <w:szCs w:val="22"/>
            <w:u w:val="single" w:color="1D3767"/>
          </w:rPr>
          <w:t>Education Code 78221</w:t>
        </w:r>
      </w:hyperlink>
      <w:r w:rsidRPr="001938E9">
        <w:rPr>
          <w:rFonts w:ascii="Mangal Pro" w:hAnsi="Mangal Pro" w:cs="Mangal Pro"/>
          <w:color w:val="1D3767"/>
          <w:spacing w:val="-2"/>
          <w:sz w:val="22"/>
          <w:szCs w:val="22"/>
        </w:rPr>
        <w:t xml:space="preserve"> </w:t>
      </w:r>
      <w:r w:rsidRPr="001938E9">
        <w:rPr>
          <w:rFonts w:ascii="Mangal Pro" w:hAnsi="Mangal Pro" w:cs="Mangal Pro"/>
          <w:color w:val="333333"/>
          <w:sz w:val="22"/>
          <w:szCs w:val="22"/>
        </w:rPr>
        <w:t>and acknowledge that Student Equity</w:t>
      </w:r>
      <w:r w:rsidRPr="001938E9">
        <w:rPr>
          <w:rFonts w:ascii="Mangal Pro" w:hAnsi="Mangal Pro" w:cs="Mangal Pro"/>
          <w:color w:val="333333"/>
          <w:spacing w:val="40"/>
          <w:sz w:val="22"/>
          <w:szCs w:val="22"/>
        </w:rPr>
        <w:t xml:space="preserve"> </w:t>
      </w:r>
      <w:r w:rsidRPr="001938E9">
        <w:rPr>
          <w:rFonts w:ascii="Mangal Pro" w:hAnsi="Mangal Pro" w:cs="Mangal Pro"/>
          <w:color w:val="333333"/>
          <w:sz w:val="22"/>
          <w:szCs w:val="22"/>
        </w:rPr>
        <w:t>and Achievement funds are allocated towards the successful implementation of new or existing strategies to achieve the equity goals established for identified student groups in this equity plan</w:t>
      </w:r>
      <w:r w:rsidR="00030BDC" w:rsidRPr="001938E9">
        <w:rPr>
          <w:rFonts w:ascii="Mangal Pro" w:hAnsi="Mangal Pro" w:cs="Mangal Pro"/>
          <w:color w:val="333333"/>
          <w:sz w:val="22"/>
          <w:szCs w:val="22"/>
        </w:rPr>
        <w:t>.</w:t>
      </w:r>
    </w:p>
    <w:p w14:paraId="7EE08B1A" w14:textId="214BA5FB" w:rsidR="00A604C8" w:rsidRPr="009658D3" w:rsidRDefault="00030BDC" w:rsidP="00A41ADB">
      <w:pPr>
        <w:pStyle w:val="ListParagraph"/>
        <w:numPr>
          <w:ilvl w:val="0"/>
          <w:numId w:val="41"/>
        </w:numPr>
        <w:spacing w:line="240" w:lineRule="auto"/>
        <w:rPr>
          <w:rFonts w:ascii="Mangal Pro" w:hAnsi="Mangal Pro" w:cs="Mangal Pro"/>
          <w:b/>
          <w:bCs/>
          <w:sz w:val="22"/>
          <w:szCs w:val="22"/>
        </w:rPr>
      </w:pPr>
      <w:r w:rsidRPr="009658D3">
        <w:rPr>
          <w:rFonts w:ascii="Mangal Pro" w:hAnsi="Mangal Pro" w:cs="Mangal Pro"/>
          <w:color w:val="333333"/>
          <w:sz w:val="22"/>
          <w:szCs w:val="22"/>
        </w:rPr>
        <w:t>I have read and given special consideration to</w:t>
      </w:r>
      <w:r w:rsidRPr="009658D3">
        <w:rPr>
          <w:rFonts w:ascii="Mangal Pro" w:hAnsi="Mangal Pro" w:cs="Mangal Pro"/>
          <w:color w:val="333333"/>
          <w:spacing w:val="-4"/>
          <w:sz w:val="22"/>
          <w:szCs w:val="22"/>
        </w:rPr>
        <w:t xml:space="preserve"> </w:t>
      </w:r>
      <w:hyperlink r:id="rId12">
        <w:r w:rsidRPr="009658D3">
          <w:rPr>
            <w:rFonts w:ascii="Mangal Pro" w:hAnsi="Mangal Pro" w:cs="Mangal Pro"/>
            <w:color w:val="1D3767"/>
            <w:sz w:val="22"/>
            <w:szCs w:val="22"/>
            <w:u w:val="single" w:color="1D3767"/>
          </w:rPr>
          <w:t>Education Code 78220</w:t>
        </w:r>
      </w:hyperlink>
      <w:r w:rsidRPr="009658D3">
        <w:rPr>
          <w:rFonts w:ascii="Mangal Pro" w:hAnsi="Mangal Pro" w:cs="Mangal Pro"/>
          <w:color w:val="1D3767"/>
          <w:spacing w:val="-2"/>
          <w:sz w:val="22"/>
          <w:szCs w:val="22"/>
        </w:rPr>
        <w:t xml:space="preserve"> </w:t>
      </w:r>
      <w:r w:rsidRPr="009658D3">
        <w:rPr>
          <w:rFonts w:ascii="Mangal Pro" w:hAnsi="Mangal Pro" w:cs="Mangal Pro"/>
          <w:color w:val="333333"/>
          <w:sz w:val="22"/>
          <w:szCs w:val="22"/>
        </w:rPr>
        <w:t>section (b), which states, “Student equity plans shall be developed with the active involvement of all groups on</w:t>
      </w:r>
      <w:r w:rsidRPr="009658D3">
        <w:rPr>
          <w:rFonts w:ascii="Mangal Pro" w:hAnsi="Mangal Pro" w:cs="Mangal Pro"/>
          <w:color w:val="333333"/>
          <w:spacing w:val="-9"/>
          <w:sz w:val="22"/>
          <w:szCs w:val="22"/>
        </w:rPr>
        <w:t xml:space="preserve"> </w:t>
      </w:r>
      <w:r w:rsidRPr="009658D3">
        <w:rPr>
          <w:rFonts w:ascii="Mangal Pro" w:hAnsi="Mangal Pro" w:cs="Mangal Pro"/>
          <w:color w:val="333333"/>
          <w:sz w:val="22"/>
          <w:szCs w:val="22"/>
        </w:rPr>
        <w:t>campus</w:t>
      </w:r>
      <w:r w:rsidRPr="009658D3">
        <w:rPr>
          <w:rFonts w:ascii="Mangal Pro" w:hAnsi="Mangal Pro" w:cs="Mangal Pro"/>
          <w:color w:val="333333"/>
          <w:spacing w:val="-10"/>
          <w:sz w:val="22"/>
          <w:szCs w:val="22"/>
        </w:rPr>
        <w:t xml:space="preserve"> </w:t>
      </w:r>
      <w:r w:rsidRPr="009658D3">
        <w:rPr>
          <w:rFonts w:ascii="Mangal Pro" w:hAnsi="Mangal Pro" w:cs="Mangal Pro"/>
          <w:color w:val="333333"/>
          <w:sz w:val="22"/>
          <w:szCs w:val="22"/>
        </w:rPr>
        <w:t>as</w:t>
      </w:r>
      <w:r w:rsidRPr="009658D3">
        <w:rPr>
          <w:rFonts w:ascii="Mangal Pro" w:hAnsi="Mangal Pro" w:cs="Mangal Pro"/>
          <w:color w:val="333333"/>
          <w:spacing w:val="-9"/>
          <w:sz w:val="22"/>
          <w:szCs w:val="22"/>
        </w:rPr>
        <w:t xml:space="preserve"> </w:t>
      </w:r>
      <w:r w:rsidRPr="009658D3">
        <w:rPr>
          <w:rFonts w:ascii="Mangal Pro" w:hAnsi="Mangal Pro" w:cs="Mangal Pro"/>
          <w:color w:val="333333"/>
          <w:sz w:val="22"/>
          <w:szCs w:val="22"/>
        </w:rPr>
        <w:t>required</w:t>
      </w:r>
      <w:r w:rsidRPr="009658D3">
        <w:rPr>
          <w:rFonts w:ascii="Mangal Pro" w:hAnsi="Mangal Pro" w:cs="Mangal Pro"/>
          <w:color w:val="333333"/>
          <w:spacing w:val="-11"/>
          <w:sz w:val="22"/>
          <w:szCs w:val="22"/>
        </w:rPr>
        <w:t xml:space="preserve"> </w:t>
      </w:r>
      <w:r w:rsidRPr="009658D3">
        <w:rPr>
          <w:rFonts w:ascii="Mangal Pro" w:hAnsi="Mangal Pro" w:cs="Mangal Pro"/>
          <w:color w:val="333333"/>
          <w:sz w:val="22"/>
          <w:szCs w:val="22"/>
        </w:rPr>
        <w:t>by</w:t>
      </w:r>
      <w:r w:rsidRPr="009658D3">
        <w:rPr>
          <w:rFonts w:ascii="Mangal Pro" w:hAnsi="Mangal Pro" w:cs="Mangal Pro"/>
          <w:color w:val="333333"/>
          <w:spacing w:val="-9"/>
          <w:sz w:val="22"/>
          <w:szCs w:val="22"/>
        </w:rPr>
        <w:t xml:space="preserve"> </w:t>
      </w:r>
      <w:r w:rsidRPr="009658D3">
        <w:rPr>
          <w:rFonts w:ascii="Mangal Pro" w:hAnsi="Mangal Pro" w:cs="Mangal Pro"/>
          <w:color w:val="333333"/>
          <w:sz w:val="22"/>
          <w:szCs w:val="22"/>
        </w:rPr>
        <w:t>law,</w:t>
      </w:r>
      <w:r w:rsidRPr="009658D3">
        <w:rPr>
          <w:rFonts w:ascii="Mangal Pro" w:hAnsi="Mangal Pro" w:cs="Mangal Pro"/>
          <w:color w:val="333333"/>
          <w:spacing w:val="-9"/>
          <w:sz w:val="22"/>
          <w:szCs w:val="22"/>
        </w:rPr>
        <w:t xml:space="preserve"> </w:t>
      </w:r>
      <w:r w:rsidRPr="009658D3">
        <w:rPr>
          <w:rFonts w:ascii="Mangal Pro" w:hAnsi="Mangal Pro" w:cs="Mangal Pro"/>
          <w:color w:val="333333"/>
          <w:sz w:val="22"/>
          <w:szCs w:val="22"/>
        </w:rPr>
        <w:t>including,</w:t>
      </w:r>
      <w:r w:rsidRPr="009658D3">
        <w:rPr>
          <w:rFonts w:ascii="Mangal Pro" w:hAnsi="Mangal Pro" w:cs="Mangal Pro"/>
          <w:color w:val="333333"/>
          <w:spacing w:val="-9"/>
          <w:sz w:val="22"/>
          <w:szCs w:val="22"/>
        </w:rPr>
        <w:t xml:space="preserve"> </w:t>
      </w:r>
      <w:r w:rsidRPr="009658D3">
        <w:rPr>
          <w:rFonts w:ascii="Mangal Pro" w:hAnsi="Mangal Pro" w:cs="Mangal Pro"/>
          <w:color w:val="333333"/>
          <w:sz w:val="22"/>
          <w:szCs w:val="22"/>
        </w:rPr>
        <w:t>but</w:t>
      </w:r>
      <w:r w:rsidRPr="009658D3">
        <w:rPr>
          <w:rFonts w:ascii="Mangal Pro" w:hAnsi="Mangal Pro" w:cs="Mangal Pro"/>
          <w:color w:val="333333"/>
          <w:spacing w:val="-10"/>
          <w:sz w:val="22"/>
          <w:szCs w:val="22"/>
        </w:rPr>
        <w:t xml:space="preserve"> </w:t>
      </w:r>
      <w:r w:rsidRPr="009658D3">
        <w:rPr>
          <w:rFonts w:ascii="Mangal Pro" w:hAnsi="Mangal Pro" w:cs="Mangal Pro"/>
          <w:color w:val="333333"/>
          <w:sz w:val="22"/>
          <w:szCs w:val="22"/>
        </w:rPr>
        <w:t>not</w:t>
      </w:r>
      <w:r w:rsidRPr="009658D3">
        <w:rPr>
          <w:rFonts w:ascii="Mangal Pro" w:hAnsi="Mangal Pro" w:cs="Mangal Pro"/>
          <w:color w:val="333333"/>
          <w:spacing w:val="-10"/>
          <w:sz w:val="22"/>
          <w:szCs w:val="22"/>
        </w:rPr>
        <w:t xml:space="preserve"> </w:t>
      </w:r>
      <w:r w:rsidRPr="009658D3">
        <w:rPr>
          <w:rFonts w:ascii="Mangal Pro" w:hAnsi="Mangal Pro" w:cs="Mangal Pro"/>
          <w:color w:val="333333"/>
          <w:sz w:val="22"/>
          <w:szCs w:val="22"/>
        </w:rPr>
        <w:t>limited</w:t>
      </w:r>
      <w:r w:rsidRPr="009658D3">
        <w:rPr>
          <w:rFonts w:ascii="Mangal Pro" w:hAnsi="Mangal Pro" w:cs="Mangal Pro"/>
          <w:color w:val="333333"/>
          <w:spacing w:val="-11"/>
          <w:sz w:val="22"/>
          <w:szCs w:val="22"/>
        </w:rPr>
        <w:t xml:space="preserve"> </w:t>
      </w:r>
      <w:r w:rsidRPr="009658D3">
        <w:rPr>
          <w:rFonts w:ascii="Mangal Pro" w:hAnsi="Mangal Pro" w:cs="Mangal Pro"/>
          <w:color w:val="333333"/>
          <w:sz w:val="22"/>
          <w:szCs w:val="22"/>
        </w:rPr>
        <w:t>to,</w:t>
      </w:r>
      <w:r w:rsidRPr="009658D3">
        <w:rPr>
          <w:rFonts w:ascii="Mangal Pro" w:hAnsi="Mangal Pro" w:cs="Mangal Pro"/>
          <w:color w:val="333333"/>
          <w:spacing w:val="-9"/>
          <w:sz w:val="22"/>
          <w:szCs w:val="22"/>
        </w:rPr>
        <w:t xml:space="preserve"> </w:t>
      </w:r>
      <w:r w:rsidRPr="009658D3">
        <w:rPr>
          <w:rFonts w:ascii="Mangal Pro" w:hAnsi="Mangal Pro" w:cs="Mangal Pro"/>
          <w:color w:val="333333"/>
          <w:sz w:val="22"/>
          <w:szCs w:val="22"/>
        </w:rPr>
        <w:t>the</w:t>
      </w:r>
      <w:r w:rsidRPr="009658D3">
        <w:rPr>
          <w:rFonts w:ascii="Mangal Pro" w:hAnsi="Mangal Pro" w:cs="Mangal Pro"/>
          <w:color w:val="333333"/>
          <w:spacing w:val="-9"/>
          <w:sz w:val="22"/>
          <w:szCs w:val="22"/>
        </w:rPr>
        <w:t xml:space="preserve"> </w:t>
      </w:r>
      <w:r w:rsidRPr="009658D3">
        <w:rPr>
          <w:rFonts w:ascii="Mangal Pro" w:hAnsi="Mangal Pro" w:cs="Mangal Pro"/>
          <w:color w:val="333333"/>
          <w:sz w:val="22"/>
          <w:szCs w:val="22"/>
        </w:rPr>
        <w:t>academic</w:t>
      </w:r>
      <w:r w:rsidRPr="009658D3">
        <w:rPr>
          <w:rFonts w:ascii="Mangal Pro" w:hAnsi="Mangal Pro" w:cs="Mangal Pro"/>
          <w:color w:val="333333"/>
          <w:spacing w:val="-10"/>
          <w:sz w:val="22"/>
          <w:szCs w:val="22"/>
        </w:rPr>
        <w:t xml:space="preserve"> </w:t>
      </w:r>
      <w:r w:rsidRPr="009658D3">
        <w:rPr>
          <w:rFonts w:ascii="Mangal Pro" w:hAnsi="Mangal Pro" w:cs="Mangal Pro"/>
          <w:color w:val="333333"/>
          <w:sz w:val="22"/>
          <w:szCs w:val="22"/>
        </w:rPr>
        <w:t>senate,</w:t>
      </w:r>
      <w:r w:rsidRPr="009658D3">
        <w:rPr>
          <w:rFonts w:ascii="Mangal Pro" w:hAnsi="Mangal Pro" w:cs="Mangal Pro"/>
          <w:color w:val="333333"/>
          <w:spacing w:val="-9"/>
          <w:sz w:val="22"/>
          <w:szCs w:val="22"/>
        </w:rPr>
        <w:t xml:space="preserve"> </w:t>
      </w:r>
      <w:r w:rsidRPr="009658D3">
        <w:rPr>
          <w:rFonts w:ascii="Mangal Pro" w:hAnsi="Mangal Pro" w:cs="Mangal Pro"/>
          <w:color w:val="333333"/>
          <w:sz w:val="22"/>
          <w:szCs w:val="22"/>
        </w:rPr>
        <w:t>academic faculty and staff, student services, and students, and with the involvement of appropriate people from the community.”</w:t>
      </w:r>
    </w:p>
    <w:p w14:paraId="274A5E22" w14:textId="77777777" w:rsidR="009F17B7" w:rsidRPr="009658D3" w:rsidRDefault="009F17B7" w:rsidP="00E910D4">
      <w:pPr>
        <w:spacing w:line="240" w:lineRule="auto"/>
        <w:contextualSpacing/>
        <w:rPr>
          <w:rFonts w:ascii="Mangal Pro" w:hAnsi="Mangal Pro" w:cs="Mangal Pro"/>
          <w:b/>
          <w:bCs/>
          <w:sz w:val="22"/>
          <w:szCs w:val="22"/>
        </w:rPr>
      </w:pPr>
    </w:p>
    <w:p w14:paraId="71564D19" w14:textId="77777777" w:rsidR="005E364D" w:rsidRPr="009658D3" w:rsidRDefault="005E364D" w:rsidP="00BC7BF6">
      <w:pPr>
        <w:spacing w:before="276"/>
        <w:rPr>
          <w:rFonts w:ascii="Mangal Pro" w:hAnsi="Mangal Pro" w:cs="Mangal Pro"/>
          <w:b/>
          <w:sz w:val="22"/>
          <w:szCs w:val="22"/>
        </w:rPr>
      </w:pPr>
      <w:r w:rsidRPr="009658D3">
        <w:rPr>
          <w:rFonts w:ascii="Mangal Pro" w:hAnsi="Mangal Pro" w:cs="Mangal Pro"/>
          <w:b/>
          <w:color w:val="333333"/>
          <w:sz w:val="22"/>
          <w:szCs w:val="22"/>
        </w:rPr>
        <w:t>Campus</w:t>
      </w:r>
      <w:r w:rsidRPr="009658D3">
        <w:rPr>
          <w:rFonts w:ascii="Mangal Pro" w:hAnsi="Mangal Pro" w:cs="Mangal Pro"/>
          <w:b/>
          <w:color w:val="333333"/>
          <w:spacing w:val="-3"/>
          <w:sz w:val="22"/>
          <w:szCs w:val="22"/>
        </w:rPr>
        <w:t xml:space="preserve"> </w:t>
      </w:r>
      <w:r w:rsidRPr="009658D3">
        <w:rPr>
          <w:rFonts w:ascii="Mangal Pro" w:hAnsi="Mangal Pro" w:cs="Mangal Pro"/>
          <w:b/>
          <w:color w:val="333333"/>
          <w:sz w:val="22"/>
          <w:szCs w:val="22"/>
        </w:rPr>
        <w:t>Involvement</w:t>
      </w:r>
      <w:r w:rsidRPr="009658D3">
        <w:rPr>
          <w:rFonts w:ascii="Mangal Pro" w:hAnsi="Mangal Pro" w:cs="Mangal Pro"/>
          <w:b/>
          <w:color w:val="333333"/>
          <w:spacing w:val="-3"/>
          <w:sz w:val="22"/>
          <w:szCs w:val="22"/>
        </w:rPr>
        <w:t xml:space="preserve"> </w:t>
      </w:r>
      <w:r w:rsidRPr="009658D3">
        <w:rPr>
          <w:rFonts w:ascii="Mangal Pro" w:hAnsi="Mangal Pro" w:cs="Mangal Pro"/>
          <w:b/>
          <w:color w:val="333333"/>
          <w:sz w:val="22"/>
          <w:szCs w:val="22"/>
        </w:rPr>
        <w:t>&amp;</w:t>
      </w:r>
      <w:r w:rsidRPr="009658D3">
        <w:rPr>
          <w:rFonts w:ascii="Mangal Pro" w:hAnsi="Mangal Pro" w:cs="Mangal Pro"/>
          <w:b/>
          <w:color w:val="333333"/>
          <w:spacing w:val="-3"/>
          <w:sz w:val="22"/>
          <w:szCs w:val="22"/>
        </w:rPr>
        <w:t xml:space="preserve"> </w:t>
      </w:r>
      <w:r w:rsidRPr="009658D3">
        <w:rPr>
          <w:rFonts w:ascii="Mangal Pro" w:hAnsi="Mangal Pro" w:cs="Mangal Pro"/>
          <w:b/>
          <w:color w:val="333333"/>
          <w:sz w:val="22"/>
          <w:szCs w:val="22"/>
        </w:rPr>
        <w:t>Leveraging</w:t>
      </w:r>
      <w:r w:rsidRPr="009658D3">
        <w:rPr>
          <w:rFonts w:ascii="Mangal Pro" w:hAnsi="Mangal Pro" w:cs="Mangal Pro"/>
          <w:b/>
          <w:color w:val="333333"/>
          <w:spacing w:val="-2"/>
          <w:sz w:val="22"/>
          <w:szCs w:val="22"/>
        </w:rPr>
        <w:t xml:space="preserve"> </w:t>
      </w:r>
      <w:r w:rsidRPr="009658D3">
        <w:rPr>
          <w:rFonts w:ascii="Mangal Pro" w:hAnsi="Mangal Pro" w:cs="Mangal Pro"/>
          <w:b/>
          <w:color w:val="333333"/>
          <w:sz w:val="22"/>
          <w:szCs w:val="22"/>
        </w:rPr>
        <w:t>Student</w:t>
      </w:r>
      <w:r w:rsidRPr="009658D3">
        <w:rPr>
          <w:rFonts w:ascii="Mangal Pro" w:hAnsi="Mangal Pro" w:cs="Mangal Pro"/>
          <w:b/>
          <w:color w:val="333333"/>
          <w:spacing w:val="-2"/>
          <w:sz w:val="22"/>
          <w:szCs w:val="22"/>
        </w:rPr>
        <w:t xml:space="preserve"> </w:t>
      </w:r>
      <w:r w:rsidRPr="009658D3">
        <w:rPr>
          <w:rFonts w:ascii="Mangal Pro" w:hAnsi="Mangal Pro" w:cs="Mangal Pro"/>
          <w:b/>
          <w:color w:val="333333"/>
          <w:spacing w:val="-4"/>
          <w:sz w:val="22"/>
          <w:szCs w:val="22"/>
        </w:rPr>
        <w:t>Voice</w:t>
      </w:r>
    </w:p>
    <w:p w14:paraId="21F36B1A" w14:textId="77777777" w:rsidR="005E364D" w:rsidRPr="006F2C88" w:rsidRDefault="005E364D" w:rsidP="00BC7BF6">
      <w:pPr>
        <w:ind w:right="1075"/>
        <w:jc w:val="both"/>
        <w:rPr>
          <w:rFonts w:ascii="Mangal Pro" w:hAnsi="Mangal Pro" w:cs="Mangal Pro"/>
          <w:bCs/>
          <w:i/>
          <w:iCs/>
          <w:sz w:val="20"/>
          <w:szCs w:val="20"/>
        </w:rPr>
      </w:pPr>
      <w:r w:rsidRPr="006F2C88">
        <w:rPr>
          <w:rFonts w:ascii="Mangal Pro" w:hAnsi="Mangal Pro" w:cs="Mangal Pro"/>
          <w:bCs/>
          <w:i/>
          <w:iCs/>
          <w:sz w:val="20"/>
          <w:szCs w:val="20"/>
        </w:rPr>
        <w:t>Please</w:t>
      </w:r>
      <w:r w:rsidRPr="006F2C88">
        <w:rPr>
          <w:rFonts w:ascii="Mangal Pro" w:hAnsi="Mangal Pro" w:cs="Mangal Pro"/>
          <w:bCs/>
          <w:i/>
          <w:iCs/>
          <w:spacing w:val="-4"/>
          <w:sz w:val="20"/>
          <w:szCs w:val="20"/>
        </w:rPr>
        <w:t xml:space="preserve"> </w:t>
      </w:r>
      <w:r w:rsidRPr="006F2C88">
        <w:rPr>
          <w:rFonts w:ascii="Mangal Pro" w:hAnsi="Mangal Pro" w:cs="Mangal Pro"/>
          <w:bCs/>
          <w:i/>
          <w:iCs/>
          <w:sz w:val="20"/>
          <w:szCs w:val="20"/>
        </w:rPr>
        <w:t>provide</w:t>
      </w:r>
      <w:r w:rsidRPr="006F2C88">
        <w:rPr>
          <w:rFonts w:ascii="Mangal Pro" w:hAnsi="Mangal Pro" w:cs="Mangal Pro"/>
          <w:bCs/>
          <w:i/>
          <w:iCs/>
          <w:spacing w:val="-4"/>
          <w:sz w:val="20"/>
          <w:szCs w:val="20"/>
        </w:rPr>
        <w:t xml:space="preserve"> </w:t>
      </w:r>
      <w:r w:rsidRPr="006F2C88">
        <w:rPr>
          <w:rFonts w:ascii="Mangal Pro" w:hAnsi="Mangal Pro" w:cs="Mangal Pro"/>
          <w:bCs/>
          <w:i/>
          <w:iCs/>
          <w:sz w:val="20"/>
          <w:szCs w:val="20"/>
        </w:rPr>
        <w:t>a</w:t>
      </w:r>
      <w:r w:rsidRPr="006F2C88">
        <w:rPr>
          <w:rFonts w:ascii="Mangal Pro" w:hAnsi="Mangal Pro" w:cs="Mangal Pro"/>
          <w:bCs/>
          <w:i/>
          <w:iCs/>
          <w:spacing w:val="-5"/>
          <w:sz w:val="20"/>
          <w:szCs w:val="20"/>
        </w:rPr>
        <w:t xml:space="preserve"> </w:t>
      </w:r>
      <w:r w:rsidRPr="006F2C88">
        <w:rPr>
          <w:rFonts w:ascii="Mangal Pro" w:hAnsi="Mangal Pro" w:cs="Mangal Pro"/>
          <w:bCs/>
          <w:i/>
          <w:iCs/>
          <w:sz w:val="20"/>
          <w:szCs w:val="20"/>
        </w:rPr>
        <w:t>description</w:t>
      </w:r>
      <w:r w:rsidRPr="006F2C88">
        <w:rPr>
          <w:rFonts w:ascii="Mangal Pro" w:hAnsi="Mangal Pro" w:cs="Mangal Pro"/>
          <w:bCs/>
          <w:i/>
          <w:iCs/>
          <w:spacing w:val="-5"/>
          <w:sz w:val="20"/>
          <w:szCs w:val="20"/>
        </w:rPr>
        <w:t xml:space="preserve"> </w:t>
      </w:r>
      <w:r w:rsidRPr="006F2C88">
        <w:rPr>
          <w:rFonts w:ascii="Mangal Pro" w:hAnsi="Mangal Pro" w:cs="Mangal Pro"/>
          <w:bCs/>
          <w:i/>
          <w:iCs/>
          <w:sz w:val="20"/>
          <w:szCs w:val="20"/>
        </w:rPr>
        <w:t>of</w:t>
      </w:r>
      <w:r w:rsidRPr="006F2C88">
        <w:rPr>
          <w:rFonts w:ascii="Mangal Pro" w:hAnsi="Mangal Pro" w:cs="Mangal Pro"/>
          <w:bCs/>
          <w:i/>
          <w:iCs/>
          <w:spacing w:val="-4"/>
          <w:sz w:val="20"/>
          <w:szCs w:val="20"/>
        </w:rPr>
        <w:t xml:space="preserve"> </w:t>
      </w:r>
      <w:r w:rsidRPr="006F2C88">
        <w:rPr>
          <w:rFonts w:ascii="Mangal Pro" w:hAnsi="Mangal Pro" w:cs="Mangal Pro"/>
          <w:bCs/>
          <w:i/>
          <w:iCs/>
          <w:sz w:val="20"/>
          <w:szCs w:val="20"/>
        </w:rPr>
        <w:t>how</w:t>
      </w:r>
      <w:r w:rsidRPr="006F2C88">
        <w:rPr>
          <w:rFonts w:ascii="Mangal Pro" w:hAnsi="Mangal Pro" w:cs="Mangal Pro"/>
          <w:bCs/>
          <w:i/>
          <w:iCs/>
          <w:spacing w:val="-5"/>
          <w:sz w:val="20"/>
          <w:szCs w:val="20"/>
        </w:rPr>
        <w:t xml:space="preserve"> </w:t>
      </w:r>
      <w:r w:rsidRPr="006F2C88">
        <w:rPr>
          <w:rFonts w:ascii="Mangal Pro" w:hAnsi="Mangal Pro" w:cs="Mangal Pro"/>
          <w:bCs/>
          <w:i/>
          <w:iCs/>
          <w:sz w:val="20"/>
          <w:szCs w:val="20"/>
        </w:rPr>
        <w:t>your</w:t>
      </w:r>
      <w:r w:rsidRPr="006F2C88">
        <w:rPr>
          <w:rFonts w:ascii="Mangal Pro" w:hAnsi="Mangal Pro" w:cs="Mangal Pro"/>
          <w:bCs/>
          <w:i/>
          <w:iCs/>
          <w:spacing w:val="-4"/>
          <w:sz w:val="20"/>
          <w:szCs w:val="20"/>
        </w:rPr>
        <w:t xml:space="preserve"> </w:t>
      </w:r>
      <w:r w:rsidRPr="006F2C88">
        <w:rPr>
          <w:rFonts w:ascii="Mangal Pro" w:hAnsi="Mangal Pro" w:cs="Mangal Pro"/>
          <w:bCs/>
          <w:i/>
          <w:iCs/>
          <w:sz w:val="20"/>
          <w:szCs w:val="20"/>
        </w:rPr>
        <w:t>college</w:t>
      </w:r>
      <w:r w:rsidRPr="006F2C88">
        <w:rPr>
          <w:rFonts w:ascii="Mangal Pro" w:hAnsi="Mangal Pro" w:cs="Mangal Pro"/>
          <w:bCs/>
          <w:i/>
          <w:iCs/>
          <w:spacing w:val="-4"/>
          <w:sz w:val="20"/>
          <w:szCs w:val="20"/>
        </w:rPr>
        <w:t xml:space="preserve"> </w:t>
      </w:r>
      <w:r w:rsidRPr="006F2C88">
        <w:rPr>
          <w:rFonts w:ascii="Mangal Pro" w:hAnsi="Mangal Pro" w:cs="Mangal Pro"/>
          <w:bCs/>
          <w:i/>
          <w:iCs/>
          <w:sz w:val="20"/>
          <w:szCs w:val="20"/>
        </w:rPr>
        <w:t>ensures</w:t>
      </w:r>
      <w:r w:rsidRPr="006F2C88">
        <w:rPr>
          <w:rFonts w:ascii="Mangal Pro" w:hAnsi="Mangal Pro" w:cs="Mangal Pro"/>
          <w:bCs/>
          <w:i/>
          <w:iCs/>
          <w:spacing w:val="-5"/>
          <w:sz w:val="20"/>
          <w:szCs w:val="20"/>
        </w:rPr>
        <w:t xml:space="preserve"> </w:t>
      </w:r>
      <w:r w:rsidRPr="006F2C88">
        <w:rPr>
          <w:rFonts w:ascii="Mangal Pro" w:hAnsi="Mangal Pro" w:cs="Mangal Pro"/>
          <w:bCs/>
          <w:i/>
          <w:iCs/>
          <w:sz w:val="20"/>
          <w:szCs w:val="20"/>
        </w:rPr>
        <w:t>active</w:t>
      </w:r>
      <w:r w:rsidRPr="006F2C88">
        <w:rPr>
          <w:rFonts w:ascii="Mangal Pro" w:hAnsi="Mangal Pro" w:cs="Mangal Pro"/>
          <w:bCs/>
          <w:i/>
          <w:iCs/>
          <w:spacing w:val="-4"/>
          <w:sz w:val="20"/>
          <w:szCs w:val="20"/>
        </w:rPr>
        <w:t xml:space="preserve"> </w:t>
      </w:r>
      <w:r w:rsidRPr="006F2C88">
        <w:rPr>
          <w:rFonts w:ascii="Mangal Pro" w:hAnsi="Mangal Pro" w:cs="Mangal Pro"/>
          <w:bCs/>
          <w:i/>
          <w:iCs/>
          <w:sz w:val="20"/>
          <w:szCs w:val="20"/>
        </w:rPr>
        <w:t>involvement</w:t>
      </w:r>
      <w:r w:rsidRPr="006F2C88">
        <w:rPr>
          <w:rFonts w:ascii="Mangal Pro" w:hAnsi="Mangal Pro" w:cs="Mangal Pro"/>
          <w:bCs/>
          <w:i/>
          <w:iCs/>
          <w:spacing w:val="-4"/>
          <w:sz w:val="20"/>
          <w:szCs w:val="20"/>
        </w:rPr>
        <w:t xml:space="preserve"> </w:t>
      </w:r>
      <w:r w:rsidRPr="006F2C88">
        <w:rPr>
          <w:rFonts w:ascii="Mangal Pro" w:hAnsi="Mangal Pro" w:cs="Mangal Pro"/>
          <w:bCs/>
          <w:i/>
          <w:iCs/>
          <w:sz w:val="20"/>
          <w:szCs w:val="20"/>
        </w:rPr>
        <w:t>of</w:t>
      </w:r>
      <w:r w:rsidRPr="006F2C88">
        <w:rPr>
          <w:rFonts w:ascii="Mangal Pro" w:hAnsi="Mangal Pro" w:cs="Mangal Pro"/>
          <w:bCs/>
          <w:i/>
          <w:iCs/>
          <w:spacing w:val="-4"/>
          <w:sz w:val="20"/>
          <w:szCs w:val="20"/>
        </w:rPr>
        <w:t xml:space="preserve"> </w:t>
      </w:r>
      <w:r w:rsidRPr="006F2C88">
        <w:rPr>
          <w:rFonts w:ascii="Mangal Pro" w:hAnsi="Mangal Pro" w:cs="Mangal Pro"/>
          <w:bCs/>
          <w:i/>
          <w:iCs/>
          <w:sz w:val="20"/>
          <w:szCs w:val="20"/>
        </w:rPr>
        <w:t>all</w:t>
      </w:r>
      <w:r w:rsidRPr="006F2C88">
        <w:rPr>
          <w:rFonts w:ascii="Mangal Pro" w:hAnsi="Mangal Pro" w:cs="Mangal Pro"/>
          <w:bCs/>
          <w:i/>
          <w:iCs/>
          <w:spacing w:val="-4"/>
          <w:sz w:val="20"/>
          <w:szCs w:val="20"/>
        </w:rPr>
        <w:t xml:space="preserve"> </w:t>
      </w:r>
      <w:r w:rsidRPr="006F2C88">
        <w:rPr>
          <w:rFonts w:ascii="Mangal Pro" w:hAnsi="Mangal Pro" w:cs="Mangal Pro"/>
          <w:bCs/>
          <w:i/>
          <w:iCs/>
          <w:sz w:val="20"/>
          <w:szCs w:val="20"/>
        </w:rPr>
        <w:t>groups</w:t>
      </w:r>
      <w:r w:rsidRPr="006F2C88">
        <w:rPr>
          <w:rFonts w:ascii="Mangal Pro" w:hAnsi="Mangal Pro" w:cs="Mangal Pro"/>
          <w:bCs/>
          <w:i/>
          <w:iCs/>
          <w:spacing w:val="-4"/>
          <w:sz w:val="20"/>
          <w:szCs w:val="20"/>
        </w:rPr>
        <w:t xml:space="preserve"> </w:t>
      </w:r>
      <w:r w:rsidRPr="006F2C88">
        <w:rPr>
          <w:rFonts w:ascii="Mangal Pro" w:hAnsi="Mangal Pro" w:cs="Mangal Pro"/>
          <w:bCs/>
          <w:i/>
          <w:iCs/>
          <w:sz w:val="20"/>
          <w:szCs w:val="20"/>
        </w:rPr>
        <w:t>on campus,</w:t>
      </w:r>
      <w:r w:rsidRPr="006F2C88">
        <w:rPr>
          <w:rFonts w:ascii="Mangal Pro" w:hAnsi="Mangal Pro" w:cs="Mangal Pro"/>
          <w:bCs/>
          <w:i/>
          <w:iCs/>
          <w:spacing w:val="-9"/>
          <w:sz w:val="20"/>
          <w:szCs w:val="20"/>
        </w:rPr>
        <w:t xml:space="preserve"> </w:t>
      </w:r>
      <w:r w:rsidRPr="006F2C88">
        <w:rPr>
          <w:rFonts w:ascii="Mangal Pro" w:hAnsi="Mangal Pro" w:cs="Mangal Pro"/>
          <w:bCs/>
          <w:i/>
          <w:iCs/>
          <w:sz w:val="20"/>
          <w:szCs w:val="20"/>
        </w:rPr>
        <w:t>including,</w:t>
      </w:r>
      <w:r w:rsidRPr="006F2C88">
        <w:rPr>
          <w:rFonts w:ascii="Mangal Pro" w:hAnsi="Mangal Pro" w:cs="Mangal Pro"/>
          <w:bCs/>
          <w:i/>
          <w:iCs/>
          <w:spacing w:val="-9"/>
          <w:sz w:val="20"/>
          <w:szCs w:val="20"/>
        </w:rPr>
        <w:t xml:space="preserve"> </w:t>
      </w:r>
      <w:r w:rsidRPr="006F2C88">
        <w:rPr>
          <w:rFonts w:ascii="Mangal Pro" w:hAnsi="Mangal Pro" w:cs="Mangal Pro"/>
          <w:bCs/>
          <w:i/>
          <w:iCs/>
          <w:sz w:val="20"/>
          <w:szCs w:val="20"/>
        </w:rPr>
        <w:t>but</w:t>
      </w:r>
      <w:r w:rsidRPr="006F2C88">
        <w:rPr>
          <w:rFonts w:ascii="Mangal Pro" w:hAnsi="Mangal Pro" w:cs="Mangal Pro"/>
          <w:bCs/>
          <w:i/>
          <w:iCs/>
          <w:spacing w:val="-9"/>
          <w:sz w:val="20"/>
          <w:szCs w:val="20"/>
        </w:rPr>
        <w:t xml:space="preserve"> </w:t>
      </w:r>
      <w:r w:rsidRPr="006F2C88">
        <w:rPr>
          <w:rFonts w:ascii="Mangal Pro" w:hAnsi="Mangal Pro" w:cs="Mangal Pro"/>
          <w:bCs/>
          <w:i/>
          <w:iCs/>
          <w:sz w:val="20"/>
          <w:szCs w:val="20"/>
        </w:rPr>
        <w:t>not</w:t>
      </w:r>
      <w:r w:rsidRPr="006F2C88">
        <w:rPr>
          <w:rFonts w:ascii="Mangal Pro" w:hAnsi="Mangal Pro" w:cs="Mangal Pro"/>
          <w:bCs/>
          <w:i/>
          <w:iCs/>
          <w:spacing w:val="-9"/>
          <w:sz w:val="20"/>
          <w:szCs w:val="20"/>
        </w:rPr>
        <w:t xml:space="preserve"> </w:t>
      </w:r>
      <w:r w:rsidRPr="006F2C88">
        <w:rPr>
          <w:rFonts w:ascii="Mangal Pro" w:hAnsi="Mangal Pro" w:cs="Mangal Pro"/>
          <w:bCs/>
          <w:i/>
          <w:iCs/>
          <w:sz w:val="20"/>
          <w:szCs w:val="20"/>
        </w:rPr>
        <w:t>limited</w:t>
      </w:r>
      <w:r w:rsidRPr="006F2C88">
        <w:rPr>
          <w:rFonts w:ascii="Mangal Pro" w:hAnsi="Mangal Pro" w:cs="Mangal Pro"/>
          <w:bCs/>
          <w:i/>
          <w:iCs/>
          <w:spacing w:val="-10"/>
          <w:sz w:val="20"/>
          <w:szCs w:val="20"/>
        </w:rPr>
        <w:t xml:space="preserve"> </w:t>
      </w:r>
      <w:r w:rsidRPr="006F2C88">
        <w:rPr>
          <w:rFonts w:ascii="Mangal Pro" w:hAnsi="Mangal Pro" w:cs="Mangal Pro"/>
          <w:bCs/>
          <w:i/>
          <w:iCs/>
          <w:sz w:val="20"/>
          <w:szCs w:val="20"/>
        </w:rPr>
        <w:t>to,</w:t>
      </w:r>
      <w:r w:rsidRPr="006F2C88">
        <w:rPr>
          <w:rFonts w:ascii="Mangal Pro" w:hAnsi="Mangal Pro" w:cs="Mangal Pro"/>
          <w:bCs/>
          <w:i/>
          <w:iCs/>
          <w:spacing w:val="-9"/>
          <w:sz w:val="20"/>
          <w:szCs w:val="20"/>
        </w:rPr>
        <w:t xml:space="preserve"> </w:t>
      </w:r>
      <w:r w:rsidRPr="006F2C88">
        <w:rPr>
          <w:rFonts w:ascii="Mangal Pro" w:hAnsi="Mangal Pro" w:cs="Mangal Pro"/>
          <w:bCs/>
          <w:i/>
          <w:iCs/>
          <w:sz w:val="20"/>
          <w:szCs w:val="20"/>
        </w:rPr>
        <w:t>those</w:t>
      </w:r>
      <w:r w:rsidRPr="006F2C88">
        <w:rPr>
          <w:rFonts w:ascii="Mangal Pro" w:hAnsi="Mangal Pro" w:cs="Mangal Pro"/>
          <w:bCs/>
          <w:i/>
          <w:iCs/>
          <w:spacing w:val="-9"/>
          <w:sz w:val="20"/>
          <w:szCs w:val="20"/>
        </w:rPr>
        <w:t xml:space="preserve"> </w:t>
      </w:r>
      <w:r w:rsidRPr="006F2C88">
        <w:rPr>
          <w:rFonts w:ascii="Mangal Pro" w:hAnsi="Mangal Pro" w:cs="Mangal Pro"/>
          <w:bCs/>
          <w:i/>
          <w:iCs/>
          <w:sz w:val="20"/>
          <w:szCs w:val="20"/>
        </w:rPr>
        <w:t>identified</w:t>
      </w:r>
      <w:r w:rsidRPr="006F2C88">
        <w:rPr>
          <w:rFonts w:ascii="Mangal Pro" w:hAnsi="Mangal Pro" w:cs="Mangal Pro"/>
          <w:bCs/>
          <w:i/>
          <w:iCs/>
          <w:spacing w:val="-10"/>
          <w:sz w:val="20"/>
          <w:szCs w:val="20"/>
        </w:rPr>
        <w:t xml:space="preserve"> </w:t>
      </w:r>
      <w:r w:rsidRPr="006F2C88">
        <w:rPr>
          <w:rFonts w:ascii="Mangal Pro" w:hAnsi="Mangal Pro" w:cs="Mangal Pro"/>
          <w:bCs/>
          <w:i/>
          <w:iCs/>
          <w:sz w:val="20"/>
          <w:szCs w:val="20"/>
        </w:rPr>
        <w:t>in</w:t>
      </w:r>
      <w:r w:rsidRPr="006F2C88">
        <w:rPr>
          <w:rFonts w:ascii="Mangal Pro" w:hAnsi="Mangal Pro" w:cs="Mangal Pro"/>
          <w:bCs/>
          <w:i/>
          <w:iCs/>
          <w:spacing w:val="-10"/>
          <w:sz w:val="20"/>
          <w:szCs w:val="20"/>
        </w:rPr>
        <w:t xml:space="preserve"> </w:t>
      </w:r>
      <w:r w:rsidRPr="006F2C88">
        <w:rPr>
          <w:rFonts w:ascii="Mangal Pro" w:hAnsi="Mangal Pro" w:cs="Mangal Pro"/>
          <w:bCs/>
          <w:i/>
          <w:iCs/>
          <w:sz w:val="20"/>
          <w:szCs w:val="20"/>
        </w:rPr>
        <w:t>subdivision</w:t>
      </w:r>
      <w:r w:rsidRPr="006F2C88">
        <w:rPr>
          <w:rFonts w:ascii="Mangal Pro" w:hAnsi="Mangal Pro" w:cs="Mangal Pro"/>
          <w:bCs/>
          <w:i/>
          <w:iCs/>
          <w:spacing w:val="-10"/>
          <w:sz w:val="20"/>
          <w:szCs w:val="20"/>
        </w:rPr>
        <w:t xml:space="preserve"> </w:t>
      </w:r>
      <w:r w:rsidRPr="006F2C88">
        <w:rPr>
          <w:rFonts w:ascii="Mangal Pro" w:hAnsi="Mangal Pro" w:cs="Mangal Pro"/>
          <w:bCs/>
          <w:i/>
          <w:iCs/>
          <w:sz w:val="20"/>
          <w:szCs w:val="20"/>
        </w:rPr>
        <w:t>(b)</w:t>
      </w:r>
      <w:r w:rsidRPr="006F2C88">
        <w:rPr>
          <w:rFonts w:ascii="Mangal Pro" w:hAnsi="Mangal Pro" w:cs="Mangal Pro"/>
          <w:bCs/>
          <w:i/>
          <w:iCs/>
          <w:spacing w:val="-9"/>
          <w:sz w:val="20"/>
          <w:szCs w:val="20"/>
        </w:rPr>
        <w:t xml:space="preserve"> </w:t>
      </w:r>
      <w:r w:rsidRPr="006F2C88">
        <w:rPr>
          <w:rFonts w:ascii="Mangal Pro" w:hAnsi="Mangal Pro" w:cs="Mangal Pro"/>
          <w:bCs/>
          <w:i/>
          <w:iCs/>
          <w:sz w:val="20"/>
          <w:szCs w:val="20"/>
        </w:rPr>
        <w:t>above,</w:t>
      </w:r>
      <w:r w:rsidRPr="006F2C88">
        <w:rPr>
          <w:rFonts w:ascii="Mangal Pro" w:hAnsi="Mangal Pro" w:cs="Mangal Pro"/>
          <w:bCs/>
          <w:i/>
          <w:iCs/>
          <w:spacing w:val="-9"/>
          <w:sz w:val="20"/>
          <w:szCs w:val="20"/>
        </w:rPr>
        <w:t xml:space="preserve"> </w:t>
      </w:r>
      <w:r w:rsidRPr="006F2C88">
        <w:rPr>
          <w:rFonts w:ascii="Mangal Pro" w:hAnsi="Mangal Pro" w:cs="Mangal Pro"/>
          <w:bCs/>
          <w:i/>
          <w:iCs/>
          <w:sz w:val="20"/>
          <w:szCs w:val="20"/>
        </w:rPr>
        <w:t>in</w:t>
      </w:r>
      <w:r w:rsidRPr="006F2C88">
        <w:rPr>
          <w:rFonts w:ascii="Mangal Pro" w:hAnsi="Mangal Pro" w:cs="Mangal Pro"/>
          <w:bCs/>
          <w:i/>
          <w:iCs/>
          <w:spacing w:val="-10"/>
          <w:sz w:val="20"/>
          <w:szCs w:val="20"/>
        </w:rPr>
        <w:t xml:space="preserve"> </w:t>
      </w:r>
      <w:r w:rsidRPr="006F2C88">
        <w:rPr>
          <w:rFonts w:ascii="Mangal Pro" w:hAnsi="Mangal Pro" w:cs="Mangal Pro"/>
          <w:bCs/>
          <w:i/>
          <w:iCs/>
          <w:sz w:val="20"/>
          <w:szCs w:val="20"/>
        </w:rPr>
        <w:t>developing the student equity plan. Please also include specific strategies your college will deploy to leverage student voice to advance your institutional equity goals.</w:t>
      </w:r>
    </w:p>
    <w:p w14:paraId="45B2C6CA" w14:textId="0F05F9AB" w:rsidR="00F4640A" w:rsidRPr="009800F1" w:rsidRDefault="00F4640A" w:rsidP="00F4640A">
      <w:pPr>
        <w:spacing w:line="240" w:lineRule="auto"/>
        <w:contextualSpacing/>
        <w:rPr>
          <w:rFonts w:ascii="Mangal Pro" w:hAnsi="Mangal Pro" w:cs="Mangal Pro"/>
          <w:sz w:val="22"/>
          <w:szCs w:val="22"/>
        </w:rPr>
      </w:pPr>
      <w:r w:rsidRPr="009800F1">
        <w:rPr>
          <w:rFonts w:ascii="Mangal Pro" w:hAnsi="Mangal Pro" w:cs="Mangal Pro"/>
          <w:sz w:val="22"/>
          <w:szCs w:val="22"/>
        </w:rPr>
        <w:t>SBVC recognizes that authentic equity work begins with listening to students</w:t>
      </w:r>
      <w:r w:rsidR="00C41926">
        <w:rPr>
          <w:rFonts w:ascii="Mangal Pro" w:hAnsi="Mangal Pro" w:cs="Mangal Pro"/>
          <w:sz w:val="22"/>
          <w:szCs w:val="22"/>
        </w:rPr>
        <w:t xml:space="preserve"> and the community.</w:t>
      </w:r>
      <w:r w:rsidRPr="009800F1">
        <w:rPr>
          <w:rFonts w:ascii="Mangal Pro" w:hAnsi="Mangal Pro" w:cs="Mangal Pro"/>
          <w:sz w:val="22"/>
          <w:szCs w:val="22"/>
        </w:rPr>
        <w:t xml:space="preserve"> The college will continue to expand opportunities for students to influence institutional equity goals through:</w:t>
      </w:r>
    </w:p>
    <w:p w14:paraId="7681098C" w14:textId="5D03B340" w:rsidR="00F4640A" w:rsidRPr="009800F1" w:rsidRDefault="00F4640A" w:rsidP="00F4640A">
      <w:pPr>
        <w:numPr>
          <w:ilvl w:val="0"/>
          <w:numId w:val="1"/>
        </w:numPr>
        <w:spacing w:line="240" w:lineRule="auto"/>
        <w:contextualSpacing/>
        <w:rPr>
          <w:rFonts w:ascii="Mangal Pro" w:hAnsi="Mangal Pro" w:cs="Mangal Pro"/>
          <w:sz w:val="22"/>
          <w:szCs w:val="22"/>
        </w:rPr>
      </w:pPr>
      <w:r w:rsidRPr="009800F1">
        <w:rPr>
          <w:rFonts w:ascii="Mangal Pro" w:hAnsi="Mangal Pro" w:cs="Mangal Pro"/>
          <w:sz w:val="22"/>
          <w:szCs w:val="22"/>
        </w:rPr>
        <w:lastRenderedPageBreak/>
        <w:t xml:space="preserve">Student Voice Forums and Listening Sessions: </w:t>
      </w:r>
      <w:r w:rsidR="00C41926">
        <w:rPr>
          <w:rFonts w:ascii="Mangal Pro" w:hAnsi="Mangal Pro" w:cs="Mangal Pro"/>
          <w:sz w:val="22"/>
          <w:szCs w:val="22"/>
        </w:rPr>
        <w:t>Will host forums and sessions</w:t>
      </w:r>
      <w:r w:rsidRPr="009800F1">
        <w:rPr>
          <w:rFonts w:ascii="Mangal Pro" w:hAnsi="Mangal Pro" w:cs="Mangal Pro"/>
          <w:sz w:val="22"/>
          <w:szCs w:val="22"/>
        </w:rPr>
        <w:t xml:space="preserve"> each semester to capture feedback from disproportionately impacted (DI) student populations regarding campus climate, access to resources, and academic experiences.</w:t>
      </w:r>
    </w:p>
    <w:p w14:paraId="4F583BB7" w14:textId="4AC64AA2" w:rsidR="00F4640A" w:rsidRPr="009800F1" w:rsidRDefault="00F4640A" w:rsidP="00F4640A">
      <w:pPr>
        <w:numPr>
          <w:ilvl w:val="0"/>
          <w:numId w:val="1"/>
        </w:numPr>
        <w:spacing w:line="240" w:lineRule="auto"/>
        <w:contextualSpacing/>
        <w:rPr>
          <w:rFonts w:ascii="Mangal Pro" w:hAnsi="Mangal Pro" w:cs="Mangal Pro"/>
          <w:sz w:val="22"/>
          <w:szCs w:val="22"/>
        </w:rPr>
      </w:pPr>
      <w:r w:rsidRPr="009800F1">
        <w:rPr>
          <w:rFonts w:ascii="Mangal Pro" w:hAnsi="Mangal Pro" w:cs="Mangal Pro"/>
          <w:sz w:val="22"/>
          <w:szCs w:val="22"/>
        </w:rPr>
        <w:t xml:space="preserve">Student Focus Groups: </w:t>
      </w:r>
      <w:r w:rsidR="00C41926">
        <w:rPr>
          <w:rFonts w:ascii="Mangal Pro" w:hAnsi="Mangal Pro" w:cs="Mangal Pro"/>
          <w:sz w:val="22"/>
          <w:szCs w:val="22"/>
        </w:rPr>
        <w:t>I</w:t>
      </w:r>
      <w:r w:rsidRPr="009800F1">
        <w:rPr>
          <w:rFonts w:ascii="Mangal Pro" w:hAnsi="Mangal Pro" w:cs="Mangal Pro"/>
          <w:sz w:val="22"/>
          <w:szCs w:val="22"/>
        </w:rPr>
        <w:t xml:space="preserve">n partnership with ASG and student organizations (such as Umoja-Tumaini, Puente, Dreamers Resource Center, </w:t>
      </w:r>
      <w:r w:rsidR="00C41926">
        <w:rPr>
          <w:rFonts w:ascii="Mangal Pro" w:hAnsi="Mangal Pro" w:cs="Mangal Pro"/>
          <w:sz w:val="22"/>
          <w:szCs w:val="22"/>
        </w:rPr>
        <w:t xml:space="preserve">Tatayan, </w:t>
      </w:r>
      <w:r w:rsidRPr="009800F1">
        <w:rPr>
          <w:rFonts w:ascii="Mangal Pro" w:hAnsi="Mangal Pro" w:cs="Mangal Pro"/>
          <w:sz w:val="22"/>
          <w:szCs w:val="22"/>
        </w:rPr>
        <w:t xml:space="preserve">and LGBTQA+) </w:t>
      </w:r>
      <w:r w:rsidR="00C41926">
        <w:rPr>
          <w:rFonts w:ascii="Mangal Pro" w:hAnsi="Mangal Pro" w:cs="Mangal Pro"/>
          <w:sz w:val="22"/>
          <w:szCs w:val="22"/>
        </w:rPr>
        <w:t xml:space="preserve">will conduct student focus groups </w:t>
      </w:r>
      <w:r w:rsidRPr="009800F1">
        <w:rPr>
          <w:rFonts w:ascii="Mangal Pro" w:hAnsi="Mangal Pro" w:cs="Mangal Pro"/>
          <w:sz w:val="22"/>
          <w:szCs w:val="22"/>
        </w:rPr>
        <w:t>to better understand the needs and strengths of specific communities.</w:t>
      </w:r>
    </w:p>
    <w:p w14:paraId="06F7BF10" w14:textId="77777777" w:rsidR="00F4640A" w:rsidRPr="009800F1" w:rsidRDefault="00F4640A" w:rsidP="00F4640A">
      <w:pPr>
        <w:numPr>
          <w:ilvl w:val="0"/>
          <w:numId w:val="1"/>
        </w:numPr>
        <w:spacing w:line="240" w:lineRule="auto"/>
        <w:contextualSpacing/>
        <w:rPr>
          <w:rFonts w:ascii="Mangal Pro" w:hAnsi="Mangal Pro" w:cs="Mangal Pro"/>
          <w:sz w:val="22"/>
          <w:szCs w:val="22"/>
        </w:rPr>
      </w:pPr>
      <w:r w:rsidRPr="009230D1">
        <w:rPr>
          <w:rFonts w:ascii="Mangal Pro" w:hAnsi="Mangal Pro" w:cs="Mangal Pro"/>
          <w:b/>
          <w:bCs/>
          <w:sz w:val="22"/>
          <w:szCs w:val="22"/>
        </w:rPr>
        <w:t>Student Participation in Governance</w:t>
      </w:r>
      <w:r w:rsidRPr="009800F1">
        <w:rPr>
          <w:rFonts w:ascii="Mangal Pro" w:hAnsi="Mangal Pro" w:cs="Mangal Pro"/>
          <w:sz w:val="22"/>
          <w:szCs w:val="22"/>
        </w:rPr>
        <w:t>: ASG and student representatives serve as voting members on committees and other governance bodies to ensure the student perspective informs policy and resource allocation.</w:t>
      </w:r>
    </w:p>
    <w:p w14:paraId="69698BA5" w14:textId="613D5C74" w:rsidR="00F4640A" w:rsidRPr="009800F1" w:rsidRDefault="00F4640A" w:rsidP="00F4640A">
      <w:pPr>
        <w:numPr>
          <w:ilvl w:val="0"/>
          <w:numId w:val="1"/>
        </w:numPr>
        <w:spacing w:line="240" w:lineRule="auto"/>
        <w:contextualSpacing/>
        <w:rPr>
          <w:rFonts w:ascii="Mangal Pro" w:hAnsi="Mangal Pro" w:cs="Mangal Pro"/>
          <w:sz w:val="22"/>
          <w:szCs w:val="22"/>
        </w:rPr>
      </w:pPr>
      <w:r w:rsidRPr="009230D1">
        <w:rPr>
          <w:rFonts w:ascii="Mangal Pro" w:hAnsi="Mangal Pro" w:cs="Mangal Pro"/>
          <w:b/>
          <w:bCs/>
          <w:sz w:val="22"/>
          <w:szCs w:val="22"/>
        </w:rPr>
        <w:t>Campus Climate and Equity Surveys</w:t>
      </w:r>
      <w:r w:rsidRPr="009800F1">
        <w:rPr>
          <w:rFonts w:ascii="Mangal Pro" w:hAnsi="Mangal Pro" w:cs="Mangal Pro"/>
          <w:sz w:val="22"/>
          <w:szCs w:val="22"/>
        </w:rPr>
        <w:t xml:space="preserve">: </w:t>
      </w:r>
      <w:r w:rsidR="00C41926">
        <w:rPr>
          <w:rFonts w:ascii="Mangal Pro" w:hAnsi="Mangal Pro" w:cs="Mangal Pro"/>
          <w:sz w:val="22"/>
          <w:szCs w:val="22"/>
        </w:rPr>
        <w:t>Will continue to deploy surveys</w:t>
      </w:r>
      <w:r w:rsidRPr="009800F1">
        <w:rPr>
          <w:rFonts w:ascii="Mangal Pro" w:hAnsi="Mangal Pro" w:cs="Mangal Pro"/>
          <w:sz w:val="22"/>
          <w:szCs w:val="22"/>
        </w:rPr>
        <w:t xml:space="preserve"> annually to assess progress toward closing equity gaps and to identify emerging challenges, with findings shared transparently across the college.</w:t>
      </w:r>
    </w:p>
    <w:p w14:paraId="352A008F" w14:textId="7305C6CD" w:rsidR="009230D1" w:rsidRDefault="009230D1" w:rsidP="009230D1">
      <w:pPr>
        <w:pStyle w:val="ListParagraph"/>
        <w:numPr>
          <w:ilvl w:val="0"/>
          <w:numId w:val="1"/>
        </w:numPr>
        <w:spacing w:line="240" w:lineRule="auto"/>
        <w:rPr>
          <w:rFonts w:ascii="Mangal Pro" w:hAnsi="Mangal Pro" w:cs="Mangal Pro"/>
          <w:sz w:val="22"/>
          <w:szCs w:val="22"/>
        </w:rPr>
      </w:pPr>
      <w:r>
        <w:rPr>
          <w:rFonts w:ascii="Mangal Pro" w:hAnsi="Mangal Pro" w:cs="Mangal Pro"/>
          <w:b/>
          <w:bCs/>
          <w:sz w:val="22"/>
          <w:szCs w:val="22"/>
        </w:rPr>
        <w:t>Transparency &amp; Engagement:</w:t>
      </w:r>
      <w:r>
        <w:rPr>
          <w:rFonts w:ascii="Mangal Pro" w:hAnsi="Mangal Pro" w:cs="Mangal Pro"/>
          <w:sz w:val="22"/>
          <w:szCs w:val="22"/>
        </w:rPr>
        <w:t xml:space="preserve"> To maintain engagement throughout the life of the plan, SBVC will employ continuous feedback that includes data review sessions, professional development workshops, and progress updates shared through College Council, Academic Senate, Classified Senate, the President’s Executive Cabinet, and the Wolverine Weekly, a campus-wide newsletter that originates from the President’s Office. Transparency in outcomes and decision-making reinforces trust and motivates continued participation from all constituent groups.</w:t>
      </w:r>
    </w:p>
    <w:p w14:paraId="29058C2C" w14:textId="77777777" w:rsidR="00E14F54" w:rsidRDefault="00E14F54" w:rsidP="00E14F54">
      <w:pPr>
        <w:pStyle w:val="ListParagraph"/>
        <w:numPr>
          <w:ilvl w:val="0"/>
          <w:numId w:val="1"/>
        </w:numPr>
        <w:spacing w:line="240" w:lineRule="auto"/>
        <w:rPr>
          <w:rFonts w:ascii="Mangal Pro" w:hAnsi="Mangal Pro" w:cs="Mangal Pro"/>
          <w:sz w:val="22"/>
          <w:szCs w:val="22"/>
        </w:rPr>
      </w:pPr>
      <w:r w:rsidRPr="00E14F54">
        <w:rPr>
          <w:rFonts w:ascii="Mangal Pro" w:hAnsi="Mangal Pro" w:cs="Mangal Pro"/>
          <w:sz w:val="22"/>
          <w:szCs w:val="22"/>
        </w:rPr>
        <w:t>By embedding student voice and cross-constituent collaboration in every stage of the Student Equity Plan from development to implementation, SBVC transforms equity work into a collective responsibility and a shared commitment to student success.</w:t>
      </w:r>
    </w:p>
    <w:p w14:paraId="54D9AE99" w14:textId="77777777" w:rsidR="006F2C88" w:rsidRPr="00E14F54" w:rsidRDefault="006F2C88" w:rsidP="006F2C88">
      <w:pPr>
        <w:pStyle w:val="ListParagraph"/>
        <w:spacing w:line="240" w:lineRule="auto"/>
        <w:rPr>
          <w:rFonts w:ascii="Mangal Pro" w:hAnsi="Mangal Pro" w:cs="Mangal Pro"/>
          <w:sz w:val="22"/>
          <w:szCs w:val="22"/>
        </w:rPr>
      </w:pPr>
    </w:p>
    <w:p w14:paraId="5B878ADA" w14:textId="192B9308" w:rsidR="00E910D4" w:rsidRDefault="00EB133C" w:rsidP="00A41ADB">
      <w:pPr>
        <w:pStyle w:val="ListParagraph"/>
        <w:numPr>
          <w:ilvl w:val="0"/>
          <w:numId w:val="42"/>
        </w:numPr>
        <w:spacing w:line="240" w:lineRule="auto"/>
        <w:rPr>
          <w:rFonts w:ascii="Mangal Pro" w:hAnsi="Mangal Pro" w:cs="Mangal Pro"/>
          <w:sz w:val="22"/>
          <w:szCs w:val="22"/>
        </w:rPr>
      </w:pPr>
      <w:r w:rsidRPr="00EB133C">
        <w:rPr>
          <w:rFonts w:ascii="Mangal Pro" w:hAnsi="Mangal Pro" w:cs="Mangal Pro"/>
          <w:sz w:val="22"/>
          <w:szCs w:val="22"/>
        </w:rPr>
        <w:t>I have read the legislation </w:t>
      </w:r>
      <w:hyperlink r:id="rId13" w:tgtFrame="_blank" w:history="1">
        <w:r w:rsidRPr="00EB133C">
          <w:rPr>
            <w:rStyle w:val="Hyperlink"/>
            <w:rFonts w:ascii="Mangal Pro" w:hAnsi="Mangal Pro" w:cs="Mangal Pro"/>
            <w:sz w:val="22"/>
            <w:szCs w:val="22"/>
          </w:rPr>
          <w:t>Education Code 78220</w:t>
        </w:r>
      </w:hyperlink>
      <w:r w:rsidRPr="00EB133C">
        <w:rPr>
          <w:rFonts w:ascii="Mangal Pro" w:hAnsi="Mangal Pro" w:cs="Mangal Pro"/>
          <w:sz w:val="22"/>
          <w:szCs w:val="22"/>
        </w:rPr>
        <w:t> and understand per Education Code section (c)</w:t>
      </w:r>
      <w:r w:rsidR="00263AD4">
        <w:rPr>
          <w:rFonts w:ascii="Mangal Pro" w:hAnsi="Mangal Pro" w:cs="Mangal Pro"/>
          <w:sz w:val="22"/>
          <w:szCs w:val="22"/>
        </w:rPr>
        <w:t>,</w:t>
      </w:r>
      <w:r w:rsidRPr="00EB133C">
        <w:rPr>
          <w:rFonts w:ascii="Mangal Pro" w:hAnsi="Mangal Pro" w:cs="Mangal Pro"/>
          <w:sz w:val="22"/>
          <w:szCs w:val="22"/>
        </w:rPr>
        <w:t xml:space="preserve"> the Student Equity Plan “shall be adopted by the governing board of the community college district and submitted to the Chancellor of the California Community Colleges…”</w:t>
      </w:r>
    </w:p>
    <w:p w14:paraId="4C089030" w14:textId="77777777" w:rsidR="003D2223" w:rsidRDefault="00AD67A4" w:rsidP="00A41ADB">
      <w:pPr>
        <w:pStyle w:val="ListParagraph"/>
        <w:numPr>
          <w:ilvl w:val="0"/>
          <w:numId w:val="42"/>
        </w:numPr>
        <w:spacing w:line="240" w:lineRule="auto"/>
        <w:rPr>
          <w:rFonts w:ascii="Mangal Pro" w:hAnsi="Mangal Pro" w:cs="Mangal Pro"/>
          <w:sz w:val="22"/>
          <w:szCs w:val="22"/>
        </w:rPr>
      </w:pPr>
      <w:r w:rsidRPr="00AD67A4">
        <w:rPr>
          <w:rFonts w:ascii="Mangal Pro" w:hAnsi="Mangal Pro" w:cs="Mangal Pro"/>
          <w:sz w:val="22"/>
          <w:szCs w:val="22"/>
        </w:rPr>
        <w:lastRenderedPageBreak/>
        <w:t>I acknowledge the importance of needing to be race-conscious in the development of this Student Equity Plan.</w:t>
      </w:r>
    </w:p>
    <w:p w14:paraId="011E4062" w14:textId="77777777" w:rsidR="009F0A27" w:rsidRDefault="009F0A27" w:rsidP="009F0A27">
      <w:pPr>
        <w:spacing w:line="240" w:lineRule="auto"/>
        <w:rPr>
          <w:rFonts w:ascii="Mangal Pro" w:hAnsi="Mangal Pro" w:cs="Mangal Pro"/>
          <w:sz w:val="22"/>
          <w:szCs w:val="22"/>
        </w:rPr>
      </w:pPr>
    </w:p>
    <w:p w14:paraId="2F1F0C40" w14:textId="77777777" w:rsidR="001938E9" w:rsidRPr="009F0A27" w:rsidRDefault="001938E9" w:rsidP="009F0A27">
      <w:pPr>
        <w:spacing w:line="240" w:lineRule="auto"/>
        <w:rPr>
          <w:rFonts w:ascii="Mangal Pro" w:hAnsi="Mangal Pro" w:cs="Mangal Pro"/>
          <w:sz w:val="22"/>
          <w:szCs w:val="22"/>
        </w:rPr>
      </w:pPr>
    </w:p>
    <w:p w14:paraId="47788CAF" w14:textId="3198BFF3" w:rsidR="003D2223" w:rsidRPr="009F0A27" w:rsidRDefault="003D2223" w:rsidP="00263AD4">
      <w:pPr>
        <w:spacing w:line="240" w:lineRule="auto"/>
        <w:rPr>
          <w:rFonts w:ascii="Mangal Pro" w:hAnsi="Mangal Pro" w:cs="Mangal Pro"/>
          <w:b/>
          <w:bCs/>
          <w:sz w:val="22"/>
          <w:szCs w:val="22"/>
        </w:rPr>
      </w:pPr>
      <w:r w:rsidRPr="009F0A27">
        <w:rPr>
          <w:b/>
          <w:bCs/>
        </w:rPr>
        <w:t>Race-Consciousness</w:t>
      </w:r>
    </w:p>
    <w:p w14:paraId="76BA0118" w14:textId="77777777" w:rsidR="003D2223" w:rsidRPr="00263AD4" w:rsidRDefault="003D2223" w:rsidP="00A327A0">
      <w:pPr>
        <w:pStyle w:val="NormalWeb"/>
        <w:shd w:val="clear" w:color="auto" w:fill="FFFFFF"/>
        <w:rPr>
          <w:rFonts w:ascii="Source Sans Pro" w:hAnsi="Source Sans Pro"/>
          <w:i/>
          <w:iCs/>
          <w:color w:val="666666"/>
        </w:rPr>
      </w:pPr>
      <w:r w:rsidRPr="00263AD4">
        <w:rPr>
          <w:rFonts w:ascii="Source Sans Pro" w:hAnsi="Source Sans Pro"/>
          <w:i/>
          <w:iCs/>
          <w:color w:val="666666"/>
        </w:rPr>
        <w:t>Please describe how your college plans to be race-conscious in the development of this Student Equity Plan. The following link is an optional resource: </w:t>
      </w:r>
      <w:hyperlink r:id="rId14" w:tgtFrame="_blank" w:history="1">
        <w:r w:rsidRPr="00263AD4">
          <w:rPr>
            <w:rStyle w:val="Hyperlink"/>
            <w:rFonts w:ascii="Source Sans Pro" w:eastAsiaTheme="majorEastAsia" w:hAnsi="Source Sans Pro"/>
            <w:i/>
            <w:iCs/>
            <w:color w:val="1D3767"/>
          </w:rPr>
          <w:t>Empowering Lessons from SEPI for Designing and Implementing Race-Conscious 2025-28 Student Equity Plans</w:t>
        </w:r>
      </w:hyperlink>
      <w:r w:rsidRPr="00263AD4">
        <w:rPr>
          <w:rFonts w:ascii="Source Sans Pro" w:hAnsi="Source Sans Pro"/>
          <w:i/>
          <w:iCs/>
          <w:color w:val="666666"/>
        </w:rPr>
        <w:t> provides information on race-consciousness strategies and student equity planning.</w:t>
      </w:r>
    </w:p>
    <w:p w14:paraId="1DA7DDF6" w14:textId="77777777" w:rsidR="009F0A27" w:rsidRDefault="009F0A27" w:rsidP="00905A72">
      <w:pPr>
        <w:spacing w:line="240" w:lineRule="auto"/>
        <w:rPr>
          <w:rFonts w:ascii="Mangal Pro" w:hAnsi="Mangal Pro" w:cs="Mangal Pro"/>
          <w:sz w:val="22"/>
          <w:szCs w:val="22"/>
        </w:rPr>
      </w:pPr>
      <w:r w:rsidRPr="00905A72">
        <w:rPr>
          <w:rFonts w:ascii="Mangal Pro" w:hAnsi="Mangal Pro" w:cs="Mangal Pro"/>
          <w:sz w:val="22"/>
          <w:szCs w:val="22"/>
        </w:rPr>
        <w:t>San Bernardino Valley College (SBVC) is committed to developing a race-conscious Student Equity Plan that acknowledges and addresses the historical and systemic barriers that have impacted racially minoritized students. The college recognizes that equity cannot be achieved through race-neutral strategies; instead, SBVC centers race and intersectionality in its analysis, planning, and implementation to break institutional barriers and foster belonging for all students.</w:t>
      </w:r>
    </w:p>
    <w:p w14:paraId="3A1B2E25" w14:textId="3780CE30" w:rsidR="00DF72E1" w:rsidRDefault="00DF72E1" w:rsidP="00DF72E1">
      <w:pPr>
        <w:spacing w:line="240" w:lineRule="auto"/>
        <w:contextualSpacing/>
        <w:rPr>
          <w:rFonts w:ascii="Mangal Pro" w:hAnsi="Mangal Pro" w:cs="Mangal Pro"/>
          <w:sz w:val="22"/>
          <w:szCs w:val="22"/>
        </w:rPr>
      </w:pPr>
      <w:r w:rsidRPr="009800F1">
        <w:rPr>
          <w:rFonts w:ascii="Mangal Pro" w:hAnsi="Mangal Pro" w:cs="Mangal Pro"/>
          <w:sz w:val="22"/>
          <w:szCs w:val="22"/>
        </w:rPr>
        <w:t xml:space="preserve">SBVC’s </w:t>
      </w:r>
      <w:r>
        <w:rPr>
          <w:rFonts w:ascii="Mangal Pro" w:hAnsi="Mangal Pro" w:cs="Mangal Pro"/>
          <w:sz w:val="22"/>
          <w:szCs w:val="22"/>
        </w:rPr>
        <w:t>race-conscious</w:t>
      </w:r>
      <w:r w:rsidRPr="009800F1">
        <w:rPr>
          <w:rFonts w:ascii="Mangal Pro" w:hAnsi="Mangal Pro" w:cs="Mangal Pro"/>
          <w:sz w:val="22"/>
          <w:szCs w:val="22"/>
        </w:rPr>
        <w:t xml:space="preserve"> equity planning is also supported through alignment with the </w:t>
      </w:r>
      <w:r w:rsidR="009230D1">
        <w:rPr>
          <w:rFonts w:ascii="Mangal Pro" w:hAnsi="Mangal Pro" w:cs="Mangal Pro"/>
          <w:sz w:val="22"/>
          <w:szCs w:val="22"/>
        </w:rPr>
        <w:t>Co</w:t>
      </w:r>
      <w:r w:rsidRPr="009800F1">
        <w:rPr>
          <w:rFonts w:ascii="Mangal Pro" w:hAnsi="Mangal Pro" w:cs="Mangal Pro"/>
          <w:sz w:val="22"/>
          <w:szCs w:val="22"/>
        </w:rPr>
        <w:t>llege’s Institutional Mission, Vision, and Values, which emphasize diversity, inclusion, and social justice. Progress toward racial equity goals is communicated transparently through campus forums, reports, and presentations, allowing the entire community to engage in shared reflection and continuous improvement.</w:t>
      </w:r>
    </w:p>
    <w:p w14:paraId="2453F2E3" w14:textId="77777777" w:rsidR="001938E9" w:rsidRPr="009800F1" w:rsidRDefault="001938E9" w:rsidP="00DF72E1">
      <w:pPr>
        <w:spacing w:line="240" w:lineRule="auto"/>
        <w:contextualSpacing/>
        <w:rPr>
          <w:rFonts w:ascii="Mangal Pro" w:hAnsi="Mangal Pro" w:cs="Mangal Pro"/>
          <w:sz w:val="22"/>
          <w:szCs w:val="22"/>
        </w:rPr>
      </w:pPr>
    </w:p>
    <w:p w14:paraId="3FC617D6" w14:textId="77777777" w:rsidR="00DF72E1" w:rsidRDefault="00DF72E1" w:rsidP="00DF72E1">
      <w:pPr>
        <w:spacing w:line="240" w:lineRule="auto"/>
        <w:contextualSpacing/>
        <w:rPr>
          <w:rFonts w:ascii="Mangal Pro" w:hAnsi="Mangal Pro" w:cs="Mangal Pro"/>
          <w:sz w:val="22"/>
          <w:szCs w:val="22"/>
        </w:rPr>
      </w:pPr>
      <w:r w:rsidRPr="009800F1">
        <w:rPr>
          <w:rFonts w:ascii="Mangal Pro" w:hAnsi="Mangal Pro" w:cs="Mangal Pro"/>
          <w:sz w:val="22"/>
          <w:szCs w:val="22"/>
        </w:rPr>
        <w:t xml:space="preserve">By acknowledging race as a central factor in educational outcomes and embedding </w:t>
      </w:r>
      <w:r>
        <w:rPr>
          <w:rFonts w:ascii="Mangal Pro" w:hAnsi="Mangal Pro" w:cs="Mangal Pro"/>
          <w:sz w:val="22"/>
          <w:szCs w:val="22"/>
        </w:rPr>
        <w:t>race-conscious</w:t>
      </w:r>
      <w:r w:rsidRPr="009800F1">
        <w:rPr>
          <w:rFonts w:ascii="Mangal Pro" w:hAnsi="Mangal Pro" w:cs="Mangal Pro"/>
          <w:sz w:val="22"/>
          <w:szCs w:val="22"/>
        </w:rPr>
        <w:t xml:space="preserve"> strategies throughout the Student Equity Plan, San Bernardino Valley College reaffirms its commitment to creating a learning environment where all students, particularly those historically marginalized, can thrive and succeed.</w:t>
      </w:r>
    </w:p>
    <w:p w14:paraId="0E526640" w14:textId="77777777" w:rsidR="00E917F6" w:rsidRDefault="00E917F6" w:rsidP="00DF72E1">
      <w:pPr>
        <w:spacing w:line="240" w:lineRule="auto"/>
        <w:contextualSpacing/>
        <w:rPr>
          <w:rFonts w:ascii="Mangal Pro" w:hAnsi="Mangal Pro" w:cs="Mangal Pro"/>
          <w:sz w:val="22"/>
          <w:szCs w:val="22"/>
        </w:rPr>
      </w:pPr>
    </w:p>
    <w:p w14:paraId="0DD408E4" w14:textId="00061335" w:rsidR="00E917F6" w:rsidRPr="009800F1" w:rsidRDefault="00E917F6" w:rsidP="00E917F6">
      <w:pPr>
        <w:spacing w:line="240" w:lineRule="auto"/>
        <w:contextualSpacing/>
        <w:rPr>
          <w:rFonts w:ascii="Mangal Pro" w:hAnsi="Mangal Pro" w:cs="Mangal Pro"/>
          <w:sz w:val="22"/>
          <w:szCs w:val="22"/>
        </w:rPr>
      </w:pPr>
      <w:r w:rsidRPr="009800F1">
        <w:rPr>
          <w:rFonts w:ascii="Mangal Pro" w:hAnsi="Mangal Pro" w:cs="Mangal Pro"/>
          <w:sz w:val="22"/>
          <w:szCs w:val="22"/>
        </w:rPr>
        <w:t xml:space="preserve">SBVC </w:t>
      </w:r>
      <w:r w:rsidR="00C41926">
        <w:rPr>
          <w:rFonts w:ascii="Mangal Pro" w:hAnsi="Mangal Pro" w:cs="Mangal Pro"/>
          <w:sz w:val="22"/>
          <w:szCs w:val="22"/>
        </w:rPr>
        <w:t xml:space="preserve">will continue to </w:t>
      </w:r>
      <w:r w:rsidRPr="009800F1">
        <w:rPr>
          <w:rFonts w:ascii="Mangal Pro" w:hAnsi="Mangal Pro" w:cs="Mangal Pro"/>
          <w:sz w:val="22"/>
          <w:szCs w:val="22"/>
        </w:rPr>
        <w:t xml:space="preserve">employ a </w:t>
      </w:r>
      <w:r>
        <w:rPr>
          <w:rFonts w:ascii="Mangal Pro" w:hAnsi="Mangal Pro" w:cs="Mangal Pro"/>
          <w:sz w:val="22"/>
          <w:szCs w:val="22"/>
        </w:rPr>
        <w:t>race-conscious</w:t>
      </w:r>
      <w:r w:rsidRPr="009800F1">
        <w:rPr>
          <w:rFonts w:ascii="Mangal Pro" w:hAnsi="Mangal Pro" w:cs="Mangal Pro"/>
          <w:sz w:val="22"/>
          <w:szCs w:val="22"/>
        </w:rPr>
        <w:t xml:space="preserve"> approach by disaggregating quantitative and qualitative data to uncover equity gaps that may be obscured by aggregate reporting. The college examines outcomes through a lens that considers race and ethnicity alongside gender, income, disability, and other intersecting identities. This analysis is not limited to access and completion metrics but extends to students’ sense </w:t>
      </w:r>
      <w:r w:rsidRPr="009800F1">
        <w:rPr>
          <w:rFonts w:ascii="Mangal Pro" w:hAnsi="Mangal Pro" w:cs="Mangal Pro"/>
          <w:sz w:val="22"/>
          <w:szCs w:val="22"/>
        </w:rPr>
        <w:lastRenderedPageBreak/>
        <w:t>of belonging, experiences of bias, and access to support services.</w:t>
      </w:r>
      <w:r w:rsidRPr="009800F1">
        <w:rPr>
          <w:rFonts w:ascii="Mangal Pro" w:hAnsi="Mangal Pro" w:cs="Mangal Pro"/>
          <w:sz w:val="22"/>
          <w:szCs w:val="22"/>
        </w:rPr>
        <w:br/>
        <w:t xml:space="preserve">In addition to data, SBVC </w:t>
      </w:r>
      <w:r w:rsidR="00C41926">
        <w:rPr>
          <w:rFonts w:ascii="Mangal Pro" w:hAnsi="Mangal Pro" w:cs="Mangal Pro"/>
          <w:sz w:val="22"/>
          <w:szCs w:val="22"/>
        </w:rPr>
        <w:t xml:space="preserve">will </w:t>
      </w:r>
      <w:r w:rsidRPr="009800F1">
        <w:rPr>
          <w:rFonts w:ascii="Mangal Pro" w:hAnsi="Mangal Pro" w:cs="Mangal Pro"/>
          <w:sz w:val="22"/>
          <w:szCs w:val="22"/>
        </w:rPr>
        <w:t>actively incorporate lived experiences through student focus groups and feedback gathered from racially minoritized student organizations. These perspectives shape both the understanding of inequities and the design of responsive, culturally affirming strategies.</w:t>
      </w:r>
    </w:p>
    <w:p w14:paraId="15F07C54" w14:textId="77777777" w:rsidR="004E243B" w:rsidRDefault="004E243B" w:rsidP="004E243B">
      <w:pPr>
        <w:pStyle w:val="ListParagraph"/>
        <w:spacing w:line="240" w:lineRule="auto"/>
        <w:rPr>
          <w:rFonts w:ascii="Mangal Pro" w:hAnsi="Mangal Pro" w:cs="Mangal Pro"/>
          <w:sz w:val="22"/>
          <w:szCs w:val="22"/>
        </w:rPr>
      </w:pPr>
    </w:p>
    <w:p w14:paraId="53D0C5E4" w14:textId="18926D8F" w:rsidR="004E243B" w:rsidRPr="004E243B" w:rsidRDefault="004E243B" w:rsidP="00A41ADB">
      <w:pPr>
        <w:pStyle w:val="ListParagraph"/>
        <w:numPr>
          <w:ilvl w:val="0"/>
          <w:numId w:val="43"/>
        </w:numPr>
        <w:spacing w:line="240" w:lineRule="auto"/>
        <w:rPr>
          <w:rFonts w:ascii="Mangal Pro" w:hAnsi="Mangal Pro" w:cs="Mangal Pro"/>
          <w:sz w:val="22"/>
          <w:szCs w:val="22"/>
        </w:rPr>
      </w:pPr>
      <w:r w:rsidRPr="004E243B">
        <w:rPr>
          <w:rFonts w:ascii="Mangal Pro" w:hAnsi="Mangal Pro" w:cs="Mangal Pro"/>
          <w:sz w:val="22"/>
          <w:szCs w:val="22"/>
        </w:rPr>
        <w:t>I have read </w:t>
      </w:r>
      <w:hyperlink r:id="rId15" w:tgtFrame="_blank" w:history="1">
        <w:r w:rsidRPr="004E243B">
          <w:rPr>
            <w:rStyle w:val="Hyperlink"/>
            <w:rFonts w:ascii="Mangal Pro" w:hAnsi="Mangal Pro" w:cs="Mangal Pro"/>
            <w:sz w:val="22"/>
            <w:szCs w:val="22"/>
          </w:rPr>
          <w:t>Education Code 78220</w:t>
        </w:r>
      </w:hyperlink>
      <w:r w:rsidRPr="004E243B">
        <w:rPr>
          <w:rFonts w:ascii="Mangal Pro" w:hAnsi="Mangal Pro" w:cs="Mangal Pro"/>
          <w:sz w:val="22"/>
          <w:szCs w:val="22"/>
        </w:rPr>
        <w:t> section a(6) and understand it requires the college’s student equity plan to include a schedule and process of evaluation.</w:t>
      </w:r>
    </w:p>
    <w:p w14:paraId="18287190" w14:textId="77777777" w:rsidR="00BD58A4" w:rsidRDefault="00BD58A4" w:rsidP="001969D9">
      <w:pPr>
        <w:spacing w:line="240" w:lineRule="auto"/>
        <w:contextualSpacing/>
        <w:rPr>
          <w:rFonts w:ascii="Mangal Pro" w:hAnsi="Mangal Pro" w:cs="Mangal Pro"/>
          <w:b/>
          <w:bCs/>
        </w:rPr>
      </w:pPr>
    </w:p>
    <w:p w14:paraId="7D4477C0" w14:textId="77777777" w:rsidR="005571EA" w:rsidRDefault="005571EA" w:rsidP="001969D9">
      <w:pPr>
        <w:spacing w:line="240" w:lineRule="auto"/>
        <w:contextualSpacing/>
        <w:rPr>
          <w:rFonts w:ascii="Mangal Pro" w:hAnsi="Mangal Pro" w:cs="Mangal Pro"/>
          <w:b/>
          <w:bCs/>
        </w:rPr>
      </w:pPr>
    </w:p>
    <w:p w14:paraId="788943EF" w14:textId="6D33F4D5" w:rsidR="009F17B7" w:rsidRDefault="00E20945" w:rsidP="001969D9">
      <w:pPr>
        <w:spacing w:line="240" w:lineRule="auto"/>
        <w:contextualSpacing/>
        <w:rPr>
          <w:rFonts w:ascii="Mangal Pro" w:hAnsi="Mangal Pro" w:cs="Mangal Pro"/>
          <w:b/>
          <w:bCs/>
        </w:rPr>
      </w:pPr>
      <w:r>
        <w:rPr>
          <w:rFonts w:ascii="Mangal Pro" w:hAnsi="Mangal Pro" w:cs="Mangal Pro"/>
          <w:b/>
          <w:bCs/>
        </w:rPr>
        <w:t>Local Review Process &amp; Schedule</w:t>
      </w:r>
    </w:p>
    <w:p w14:paraId="5D8F471E" w14:textId="77777777" w:rsidR="00A055BE" w:rsidRDefault="00A055BE" w:rsidP="001969D9">
      <w:pPr>
        <w:spacing w:line="240" w:lineRule="auto"/>
        <w:contextualSpacing/>
        <w:rPr>
          <w:rFonts w:ascii="Mangal Pro" w:hAnsi="Mangal Pro" w:cs="Mangal Pro"/>
          <w:b/>
          <w:bCs/>
        </w:rPr>
      </w:pPr>
    </w:p>
    <w:p w14:paraId="704A647A" w14:textId="742DD237" w:rsidR="00E20945" w:rsidRPr="00A055BE" w:rsidRDefault="001F25E1" w:rsidP="00F35FF6">
      <w:pPr>
        <w:spacing w:line="240" w:lineRule="auto"/>
        <w:contextualSpacing/>
        <w:jc w:val="both"/>
        <w:rPr>
          <w:rFonts w:ascii="Mangal Pro" w:hAnsi="Mangal Pro" w:cs="Mangal Pro"/>
          <w:i/>
          <w:iCs/>
          <w:sz w:val="20"/>
          <w:szCs w:val="20"/>
        </w:rPr>
      </w:pPr>
      <w:r w:rsidRPr="00A055BE">
        <w:rPr>
          <w:rFonts w:ascii="Mangal Pro" w:hAnsi="Mangal Pro" w:cs="Mangal Pro"/>
          <w:i/>
          <w:iCs/>
          <w:sz w:val="20"/>
          <w:szCs w:val="20"/>
        </w:rPr>
        <w:t>Please describe the process you will implement to ensure ongoing local review and evaluation of how your student equity plan is advancing your institutional common equi</w:t>
      </w:r>
      <w:r w:rsidR="00F36B78" w:rsidRPr="00A055BE">
        <w:rPr>
          <w:rFonts w:ascii="Mangal Pro" w:hAnsi="Mangal Pro" w:cs="Mangal Pro"/>
          <w:i/>
          <w:iCs/>
          <w:sz w:val="20"/>
          <w:szCs w:val="20"/>
        </w:rPr>
        <w:t>ty goals and supporting continuous improvement. Please also provide your schedule (i.e., annually by June 30</w:t>
      </w:r>
      <w:r w:rsidR="00F36B78" w:rsidRPr="00A055BE">
        <w:rPr>
          <w:rFonts w:ascii="Mangal Pro" w:hAnsi="Mangal Pro" w:cs="Mangal Pro"/>
          <w:i/>
          <w:iCs/>
          <w:sz w:val="20"/>
          <w:szCs w:val="20"/>
          <w:vertAlign w:val="superscript"/>
        </w:rPr>
        <w:t>th</w:t>
      </w:r>
      <w:r w:rsidR="00F36B78" w:rsidRPr="00A055BE">
        <w:rPr>
          <w:rFonts w:ascii="Mangal Pro" w:hAnsi="Mangal Pro" w:cs="Mangal Pro"/>
          <w:i/>
          <w:iCs/>
          <w:sz w:val="20"/>
          <w:szCs w:val="20"/>
        </w:rPr>
        <w:t xml:space="preserve"> of each year, at </w:t>
      </w:r>
      <w:r w:rsidR="00BD58A4" w:rsidRPr="00A055BE">
        <w:rPr>
          <w:rFonts w:ascii="Mangal Pro" w:hAnsi="Mangal Pro" w:cs="Mangal Pro"/>
          <w:i/>
          <w:iCs/>
          <w:sz w:val="20"/>
          <w:szCs w:val="20"/>
        </w:rPr>
        <w:t xml:space="preserve">the </w:t>
      </w:r>
      <w:r w:rsidR="00F36B78" w:rsidRPr="00A055BE">
        <w:rPr>
          <w:rFonts w:ascii="Mangal Pro" w:hAnsi="Mangal Pro" w:cs="Mangal Pro"/>
          <w:i/>
          <w:iCs/>
          <w:sz w:val="20"/>
          <w:szCs w:val="20"/>
        </w:rPr>
        <w:t xml:space="preserve">end of each semester, etc.) of when evaluations and reporting to the campus community will take place. </w:t>
      </w:r>
    </w:p>
    <w:p w14:paraId="04ACCC7F" w14:textId="77777777" w:rsidR="00BD58A4" w:rsidRDefault="00BD58A4" w:rsidP="00BD58A4">
      <w:pPr>
        <w:spacing w:line="240" w:lineRule="auto"/>
        <w:contextualSpacing/>
        <w:rPr>
          <w:rFonts w:ascii="Mangal Pro" w:hAnsi="Mangal Pro" w:cs="Mangal Pro"/>
          <w:sz w:val="22"/>
          <w:szCs w:val="22"/>
        </w:rPr>
      </w:pPr>
    </w:p>
    <w:p w14:paraId="5455655A" w14:textId="78B00C7D" w:rsidR="00BD58A4" w:rsidRPr="009800F1" w:rsidRDefault="00BD58A4" w:rsidP="00BD58A4">
      <w:pPr>
        <w:spacing w:line="240" w:lineRule="auto"/>
        <w:contextualSpacing/>
        <w:rPr>
          <w:rFonts w:ascii="Mangal Pro" w:hAnsi="Mangal Pro" w:cs="Mangal Pro"/>
          <w:sz w:val="22"/>
          <w:szCs w:val="22"/>
        </w:rPr>
      </w:pPr>
      <w:r w:rsidRPr="009800F1">
        <w:rPr>
          <w:rFonts w:ascii="Mangal Pro" w:hAnsi="Mangal Pro" w:cs="Mangal Pro"/>
          <w:sz w:val="22"/>
          <w:szCs w:val="22"/>
        </w:rPr>
        <w:t xml:space="preserve">San Bernardino Valley College (SBVC) </w:t>
      </w:r>
      <w:r w:rsidR="00C41926">
        <w:rPr>
          <w:rFonts w:ascii="Mangal Pro" w:hAnsi="Mangal Pro" w:cs="Mangal Pro"/>
          <w:sz w:val="22"/>
          <w:szCs w:val="22"/>
        </w:rPr>
        <w:t>will continue to establish</w:t>
      </w:r>
      <w:r w:rsidRPr="009800F1">
        <w:rPr>
          <w:rFonts w:ascii="Mangal Pro" w:hAnsi="Mangal Pro" w:cs="Mangal Pro"/>
          <w:sz w:val="22"/>
          <w:szCs w:val="22"/>
        </w:rPr>
        <w:t xml:space="preserve"> a structured and transparent process to ensure continuous review, evaluation, and improvement of the Student Equity Plan. The </w:t>
      </w:r>
      <w:r w:rsidR="00937F9A">
        <w:rPr>
          <w:rFonts w:ascii="Mangal Pro" w:hAnsi="Mangal Pro" w:cs="Mangal Pro"/>
          <w:sz w:val="22"/>
          <w:szCs w:val="22"/>
        </w:rPr>
        <w:t>Colle</w:t>
      </w:r>
      <w:r w:rsidRPr="009800F1">
        <w:rPr>
          <w:rFonts w:ascii="Mangal Pro" w:hAnsi="Mangal Pro" w:cs="Mangal Pro"/>
          <w:sz w:val="22"/>
          <w:szCs w:val="22"/>
        </w:rPr>
        <w:t xml:space="preserve">ge’s approach </w:t>
      </w:r>
      <w:r w:rsidR="00C41926">
        <w:rPr>
          <w:rFonts w:ascii="Mangal Pro" w:hAnsi="Mangal Pro" w:cs="Mangal Pro"/>
          <w:sz w:val="22"/>
          <w:szCs w:val="22"/>
        </w:rPr>
        <w:t xml:space="preserve">will </w:t>
      </w:r>
      <w:r w:rsidRPr="009800F1">
        <w:rPr>
          <w:rFonts w:ascii="Mangal Pro" w:hAnsi="Mangal Pro" w:cs="Mangal Pro"/>
          <w:sz w:val="22"/>
          <w:szCs w:val="22"/>
        </w:rPr>
        <w:t>emphasize collaboration, data-informed decision-making, and alignment with institutional and statewide equity goals, ensuring that all efforts are intentional, measurable, and sustainable.</w:t>
      </w:r>
    </w:p>
    <w:p w14:paraId="6B1E08CE" w14:textId="77777777" w:rsidR="00BD58A4" w:rsidRPr="009800F1" w:rsidRDefault="00BD58A4" w:rsidP="00BD58A4">
      <w:pPr>
        <w:spacing w:line="240" w:lineRule="auto"/>
        <w:contextualSpacing/>
        <w:rPr>
          <w:rFonts w:ascii="Mangal Pro" w:hAnsi="Mangal Pro" w:cs="Mangal Pro"/>
          <w:sz w:val="22"/>
          <w:szCs w:val="22"/>
        </w:rPr>
      </w:pPr>
    </w:p>
    <w:p w14:paraId="7A44C23D" w14:textId="38E9611A" w:rsidR="00BD58A4" w:rsidRPr="009800F1" w:rsidRDefault="00BD58A4" w:rsidP="00BD58A4">
      <w:pPr>
        <w:spacing w:line="240" w:lineRule="auto"/>
        <w:contextualSpacing/>
        <w:rPr>
          <w:rFonts w:ascii="Mangal Pro" w:hAnsi="Mangal Pro" w:cs="Mangal Pro"/>
          <w:sz w:val="22"/>
          <w:szCs w:val="22"/>
        </w:rPr>
      </w:pPr>
      <w:r w:rsidRPr="009800F1">
        <w:rPr>
          <w:rFonts w:ascii="Mangal Pro" w:hAnsi="Mangal Pro" w:cs="Mangal Pro"/>
          <w:sz w:val="22"/>
          <w:szCs w:val="22"/>
        </w:rPr>
        <w:t xml:space="preserve">SBVC will </w:t>
      </w:r>
      <w:r w:rsidR="00C41926">
        <w:rPr>
          <w:rFonts w:ascii="Mangal Pro" w:hAnsi="Mangal Pro" w:cs="Mangal Pro"/>
          <w:sz w:val="22"/>
          <w:szCs w:val="22"/>
        </w:rPr>
        <w:t xml:space="preserve">continue to </w:t>
      </w:r>
      <w:r w:rsidRPr="009800F1">
        <w:rPr>
          <w:rFonts w:ascii="Mangal Pro" w:hAnsi="Mangal Pro" w:cs="Mangal Pro"/>
          <w:sz w:val="22"/>
          <w:szCs w:val="22"/>
        </w:rPr>
        <w:t xml:space="preserve">implement an </w:t>
      </w:r>
      <w:r>
        <w:rPr>
          <w:rFonts w:ascii="Mangal Pro" w:hAnsi="Mangal Pro" w:cs="Mangal Pro"/>
          <w:sz w:val="22"/>
          <w:szCs w:val="22"/>
        </w:rPr>
        <w:t>equity-centered</w:t>
      </w:r>
      <w:r w:rsidRPr="009800F1">
        <w:rPr>
          <w:rFonts w:ascii="Mangal Pro" w:hAnsi="Mangal Pro" w:cs="Mangal Pro"/>
          <w:sz w:val="22"/>
          <w:szCs w:val="22"/>
        </w:rPr>
        <w:t xml:space="preserve"> evaluation cycle that includes data analysis, reflection, and planning throughout each academic year. The Student Success Advisory Committee (SSAC)</w:t>
      </w:r>
      <w:r>
        <w:rPr>
          <w:rFonts w:ascii="Mangal Pro" w:hAnsi="Mangal Pro" w:cs="Mangal Pro"/>
          <w:sz w:val="22"/>
          <w:szCs w:val="22"/>
        </w:rPr>
        <w:t xml:space="preserve">, </w:t>
      </w:r>
      <w:r w:rsidRPr="009800F1">
        <w:rPr>
          <w:rFonts w:ascii="Mangal Pro" w:hAnsi="Mangal Pro" w:cs="Mangal Pro"/>
          <w:sz w:val="22"/>
          <w:szCs w:val="22"/>
        </w:rPr>
        <w:t>which integrates Student Equity, Guided Pathways, and Student Support Service</w:t>
      </w:r>
      <w:r>
        <w:rPr>
          <w:rFonts w:ascii="Mangal Pro" w:hAnsi="Mangal Pro" w:cs="Mangal Pro"/>
          <w:sz w:val="22"/>
          <w:szCs w:val="22"/>
        </w:rPr>
        <w:t>,</w:t>
      </w:r>
      <w:r w:rsidRPr="009800F1">
        <w:rPr>
          <w:rFonts w:ascii="Mangal Pro" w:hAnsi="Mangal Pro" w:cs="Mangal Pro"/>
          <w:sz w:val="22"/>
          <w:szCs w:val="22"/>
        </w:rPr>
        <w:t xml:space="preserve"> serves as one of the primary bod</w:t>
      </w:r>
      <w:r w:rsidR="00C41926">
        <w:rPr>
          <w:rFonts w:ascii="Mangal Pro" w:hAnsi="Mangal Pro" w:cs="Mangal Pro"/>
          <w:sz w:val="22"/>
          <w:szCs w:val="22"/>
        </w:rPr>
        <w:t>ies</w:t>
      </w:r>
      <w:r w:rsidRPr="009800F1">
        <w:rPr>
          <w:rFonts w:ascii="Mangal Pro" w:hAnsi="Mangal Pro" w:cs="Mangal Pro"/>
          <w:sz w:val="22"/>
          <w:szCs w:val="22"/>
        </w:rPr>
        <w:t xml:space="preserve"> responsible for overseeing implementation and review of the Student Equity Plan.</w:t>
      </w:r>
    </w:p>
    <w:p w14:paraId="3ADCA4A8" w14:textId="77777777" w:rsidR="00BD58A4" w:rsidRDefault="00BD58A4" w:rsidP="00BD58A4">
      <w:pPr>
        <w:spacing w:line="240" w:lineRule="auto"/>
        <w:contextualSpacing/>
        <w:rPr>
          <w:rFonts w:ascii="Mangal Pro" w:hAnsi="Mangal Pro" w:cs="Mangal Pro"/>
          <w:sz w:val="22"/>
          <w:szCs w:val="22"/>
        </w:rPr>
      </w:pPr>
      <w:r w:rsidRPr="009800F1">
        <w:rPr>
          <w:rFonts w:ascii="Mangal Pro" w:hAnsi="Mangal Pro" w:cs="Mangal Pro"/>
          <w:sz w:val="22"/>
          <w:szCs w:val="22"/>
        </w:rPr>
        <w:t>The evaluation process includes:</w:t>
      </w:r>
    </w:p>
    <w:p w14:paraId="6850575A" w14:textId="77777777" w:rsidR="005571EA" w:rsidRPr="009800F1" w:rsidRDefault="005571EA" w:rsidP="00BD58A4">
      <w:pPr>
        <w:spacing w:line="240" w:lineRule="auto"/>
        <w:contextualSpacing/>
        <w:rPr>
          <w:rFonts w:ascii="Mangal Pro" w:hAnsi="Mangal Pro" w:cs="Mangal Pro"/>
          <w:sz w:val="22"/>
          <w:szCs w:val="22"/>
        </w:rPr>
      </w:pPr>
    </w:p>
    <w:p w14:paraId="3DA59CAB" w14:textId="77777777" w:rsidR="00BD58A4" w:rsidRPr="009800F1" w:rsidRDefault="00BD58A4" w:rsidP="00BD58A4">
      <w:pPr>
        <w:numPr>
          <w:ilvl w:val="0"/>
          <w:numId w:val="2"/>
        </w:numPr>
        <w:spacing w:line="240" w:lineRule="auto"/>
        <w:contextualSpacing/>
        <w:rPr>
          <w:rFonts w:ascii="Mangal Pro" w:hAnsi="Mangal Pro" w:cs="Mangal Pro"/>
          <w:sz w:val="22"/>
          <w:szCs w:val="22"/>
        </w:rPr>
      </w:pPr>
      <w:r w:rsidRPr="009800F1">
        <w:rPr>
          <w:rFonts w:ascii="Mangal Pro" w:hAnsi="Mangal Pro" w:cs="Mangal Pro"/>
          <w:sz w:val="22"/>
          <w:szCs w:val="22"/>
        </w:rPr>
        <w:lastRenderedPageBreak/>
        <w:t>Data Review and Disaggregation: The Office of Research, Planning, and Institutional Effectiveness (RPIE) provides disaggregated data by race/ethnicity, gender, and other disproportionately impacted (DI) categories to identify trends, progress, and persistent equity gaps.</w:t>
      </w:r>
    </w:p>
    <w:p w14:paraId="15782B95" w14:textId="77777777" w:rsidR="00BD58A4" w:rsidRPr="009800F1" w:rsidRDefault="00BD58A4" w:rsidP="00BD58A4">
      <w:pPr>
        <w:numPr>
          <w:ilvl w:val="0"/>
          <w:numId w:val="2"/>
        </w:numPr>
        <w:spacing w:line="240" w:lineRule="auto"/>
        <w:contextualSpacing/>
        <w:rPr>
          <w:rFonts w:ascii="Mangal Pro" w:hAnsi="Mangal Pro" w:cs="Mangal Pro"/>
          <w:sz w:val="22"/>
          <w:szCs w:val="22"/>
        </w:rPr>
      </w:pPr>
      <w:r w:rsidRPr="009800F1">
        <w:rPr>
          <w:rFonts w:ascii="Mangal Pro" w:hAnsi="Mangal Pro" w:cs="Mangal Pro"/>
          <w:sz w:val="22"/>
          <w:szCs w:val="22"/>
        </w:rPr>
        <w:t>Departmental Reflection and Reporting: Departments and programs supported by Student Equity and Achievement (SEA) will submit reports describing how activities align with equity goals, address barriers, and support DI populations.</w:t>
      </w:r>
    </w:p>
    <w:p w14:paraId="3E2CB657" w14:textId="1AAF0217" w:rsidR="00BD58A4" w:rsidRPr="009800F1" w:rsidRDefault="00BD58A4" w:rsidP="00BD58A4">
      <w:pPr>
        <w:numPr>
          <w:ilvl w:val="0"/>
          <w:numId w:val="2"/>
        </w:numPr>
        <w:spacing w:line="240" w:lineRule="auto"/>
        <w:contextualSpacing/>
        <w:rPr>
          <w:rFonts w:ascii="Mangal Pro" w:hAnsi="Mangal Pro" w:cs="Mangal Pro"/>
          <w:sz w:val="22"/>
          <w:szCs w:val="22"/>
        </w:rPr>
      </w:pPr>
      <w:r w:rsidRPr="009800F1">
        <w:rPr>
          <w:rFonts w:ascii="Mangal Pro" w:hAnsi="Mangal Pro" w:cs="Mangal Pro"/>
          <w:sz w:val="22"/>
          <w:szCs w:val="22"/>
        </w:rPr>
        <w:t xml:space="preserve">Qualitative Feedback: SBVC </w:t>
      </w:r>
      <w:r w:rsidR="00C41926">
        <w:rPr>
          <w:rFonts w:ascii="Mangal Pro" w:hAnsi="Mangal Pro" w:cs="Mangal Pro"/>
          <w:sz w:val="22"/>
          <w:szCs w:val="22"/>
        </w:rPr>
        <w:t>will gather</w:t>
      </w:r>
      <w:r w:rsidRPr="009800F1">
        <w:rPr>
          <w:rFonts w:ascii="Mangal Pro" w:hAnsi="Mangal Pro" w:cs="Mangal Pro"/>
          <w:sz w:val="22"/>
          <w:szCs w:val="22"/>
        </w:rPr>
        <w:t xml:space="preserve"> input through student listening sessions, surveys, and focus groups, ensuring that data is complemented by lived experiences and student voice</w:t>
      </w:r>
      <w:r>
        <w:rPr>
          <w:rFonts w:ascii="Mangal Pro" w:hAnsi="Mangal Pro" w:cs="Mangal Pro"/>
          <w:sz w:val="22"/>
          <w:szCs w:val="22"/>
        </w:rPr>
        <w:t>s</w:t>
      </w:r>
      <w:r w:rsidRPr="009800F1">
        <w:rPr>
          <w:rFonts w:ascii="Mangal Pro" w:hAnsi="Mangal Pro" w:cs="Mangal Pro"/>
          <w:sz w:val="22"/>
          <w:szCs w:val="22"/>
        </w:rPr>
        <w:t>.</w:t>
      </w:r>
    </w:p>
    <w:p w14:paraId="545BFED2" w14:textId="42E32153" w:rsidR="00BD58A4" w:rsidRPr="009800F1" w:rsidRDefault="00BD58A4" w:rsidP="00BD58A4">
      <w:pPr>
        <w:numPr>
          <w:ilvl w:val="0"/>
          <w:numId w:val="2"/>
        </w:numPr>
        <w:spacing w:line="240" w:lineRule="auto"/>
        <w:contextualSpacing/>
        <w:rPr>
          <w:rFonts w:ascii="Mangal Pro" w:hAnsi="Mangal Pro" w:cs="Mangal Pro"/>
          <w:sz w:val="22"/>
          <w:szCs w:val="22"/>
        </w:rPr>
      </w:pPr>
      <w:r w:rsidRPr="009800F1">
        <w:rPr>
          <w:rFonts w:ascii="Mangal Pro" w:hAnsi="Mangal Pro" w:cs="Mangal Pro"/>
          <w:sz w:val="22"/>
          <w:szCs w:val="22"/>
        </w:rPr>
        <w:t xml:space="preserve">Committee Review and Integration: The SSAC </w:t>
      </w:r>
      <w:r w:rsidR="00C41926">
        <w:rPr>
          <w:rFonts w:ascii="Mangal Pro" w:hAnsi="Mangal Pro" w:cs="Mangal Pro"/>
          <w:sz w:val="22"/>
          <w:szCs w:val="22"/>
        </w:rPr>
        <w:t>will analyze the</w:t>
      </w:r>
      <w:r w:rsidRPr="009800F1">
        <w:rPr>
          <w:rFonts w:ascii="Mangal Pro" w:hAnsi="Mangal Pro" w:cs="Mangal Pro"/>
          <w:sz w:val="22"/>
          <w:szCs w:val="22"/>
        </w:rPr>
        <w:t xml:space="preserve"> findings to assess progress toward equity outcomes, recommend improvements, and ensure alignment with institutional priorities and budget planning.</w:t>
      </w:r>
    </w:p>
    <w:p w14:paraId="684BA89C" w14:textId="180B4420" w:rsidR="00BD58A4" w:rsidRDefault="00BD58A4" w:rsidP="00BD58A4">
      <w:pPr>
        <w:numPr>
          <w:ilvl w:val="0"/>
          <w:numId w:val="2"/>
        </w:numPr>
        <w:spacing w:line="240" w:lineRule="auto"/>
        <w:contextualSpacing/>
        <w:rPr>
          <w:rFonts w:ascii="Mangal Pro" w:hAnsi="Mangal Pro" w:cs="Mangal Pro"/>
          <w:sz w:val="22"/>
          <w:szCs w:val="22"/>
        </w:rPr>
      </w:pPr>
      <w:r w:rsidRPr="009800F1">
        <w:rPr>
          <w:rFonts w:ascii="Mangal Pro" w:hAnsi="Mangal Pro" w:cs="Mangal Pro"/>
          <w:sz w:val="22"/>
          <w:szCs w:val="22"/>
        </w:rPr>
        <w:t xml:space="preserve">Communication and Transparency: Progress reports and updates </w:t>
      </w:r>
      <w:r w:rsidR="00C41926">
        <w:rPr>
          <w:rFonts w:ascii="Mangal Pro" w:hAnsi="Mangal Pro" w:cs="Mangal Pro"/>
          <w:sz w:val="22"/>
          <w:szCs w:val="22"/>
        </w:rPr>
        <w:t>will be shared</w:t>
      </w:r>
      <w:r w:rsidRPr="009800F1">
        <w:rPr>
          <w:rFonts w:ascii="Mangal Pro" w:hAnsi="Mangal Pro" w:cs="Mangal Pro"/>
          <w:sz w:val="22"/>
          <w:szCs w:val="22"/>
        </w:rPr>
        <w:t xml:space="preserve"> with College Council, Academic Senate, Classified Senate, and Associated Student Government (ASG) to maintain college-wide awareness and engagement.</w:t>
      </w:r>
    </w:p>
    <w:p w14:paraId="39905F36" w14:textId="77777777" w:rsidR="00BD58A4" w:rsidRPr="009800F1" w:rsidRDefault="00BD58A4" w:rsidP="00BD58A4">
      <w:pPr>
        <w:spacing w:line="240" w:lineRule="auto"/>
        <w:ind w:left="720"/>
        <w:contextualSpacing/>
        <w:rPr>
          <w:rFonts w:ascii="Mangal Pro" w:hAnsi="Mangal Pro" w:cs="Mangal Pro"/>
          <w:sz w:val="22"/>
          <w:szCs w:val="22"/>
        </w:rPr>
      </w:pPr>
    </w:p>
    <w:p w14:paraId="72A15BBA" w14:textId="77777777" w:rsidR="00BD58A4" w:rsidRDefault="00BD58A4" w:rsidP="00BD58A4">
      <w:pPr>
        <w:spacing w:line="240" w:lineRule="auto"/>
        <w:contextualSpacing/>
        <w:rPr>
          <w:rFonts w:ascii="Mangal Pro" w:hAnsi="Mangal Pro" w:cs="Mangal Pro"/>
          <w:b/>
          <w:bCs/>
          <w:sz w:val="22"/>
          <w:szCs w:val="22"/>
          <w:u w:val="single"/>
        </w:rPr>
      </w:pPr>
      <w:r w:rsidRPr="00A055BE">
        <w:rPr>
          <w:rFonts w:ascii="Mangal Pro" w:hAnsi="Mangal Pro" w:cs="Mangal Pro"/>
          <w:b/>
          <w:bCs/>
          <w:sz w:val="22"/>
          <w:szCs w:val="22"/>
          <w:u w:val="single"/>
        </w:rPr>
        <w:t>Evaluation Schedule</w:t>
      </w:r>
    </w:p>
    <w:p w14:paraId="36F22293" w14:textId="77777777" w:rsidR="005571EA" w:rsidRDefault="005571EA" w:rsidP="00BD58A4">
      <w:pPr>
        <w:spacing w:line="240" w:lineRule="auto"/>
        <w:contextualSpacing/>
        <w:rPr>
          <w:rFonts w:ascii="Mangal Pro" w:hAnsi="Mangal Pro" w:cs="Mangal Pro"/>
          <w:b/>
          <w:bCs/>
          <w:sz w:val="22"/>
          <w:szCs w:val="22"/>
          <w:u w:val="single"/>
        </w:rPr>
      </w:pPr>
    </w:p>
    <w:tbl>
      <w:tblPr>
        <w:tblStyle w:val="TableGrid"/>
        <w:tblW w:w="0" w:type="auto"/>
        <w:tblLook w:val="04A0" w:firstRow="1" w:lastRow="0" w:firstColumn="1" w:lastColumn="0" w:noHBand="0" w:noVBand="1"/>
      </w:tblPr>
      <w:tblGrid>
        <w:gridCol w:w="1272"/>
        <w:gridCol w:w="3492"/>
        <w:gridCol w:w="2309"/>
        <w:gridCol w:w="2277"/>
      </w:tblGrid>
      <w:tr w:rsidR="005571EA" w14:paraId="373D7C14" w14:textId="77777777" w:rsidTr="005078B1">
        <w:tc>
          <w:tcPr>
            <w:tcW w:w="1272" w:type="dxa"/>
          </w:tcPr>
          <w:p w14:paraId="648DA332" w14:textId="2F8F2A0F" w:rsidR="00C41926" w:rsidRPr="005078B1" w:rsidRDefault="00C41926" w:rsidP="00BD58A4">
            <w:pPr>
              <w:contextualSpacing/>
              <w:rPr>
                <w:rFonts w:ascii="Mangal Pro" w:hAnsi="Mangal Pro" w:cs="Mangal Pro"/>
                <w:b/>
                <w:bCs/>
                <w:sz w:val="20"/>
                <w:szCs w:val="20"/>
                <w:u w:val="single"/>
              </w:rPr>
            </w:pPr>
            <w:r w:rsidRPr="005078B1">
              <w:rPr>
                <w:rFonts w:ascii="Mangal Pro" w:hAnsi="Mangal Pro" w:cs="Mangal Pro"/>
                <w:b/>
                <w:bCs/>
                <w:sz w:val="20"/>
                <w:szCs w:val="20"/>
                <w:u w:val="single"/>
              </w:rPr>
              <w:t>Timeframe</w:t>
            </w:r>
          </w:p>
        </w:tc>
        <w:tc>
          <w:tcPr>
            <w:tcW w:w="3492" w:type="dxa"/>
          </w:tcPr>
          <w:p w14:paraId="28BAABA1" w14:textId="551028FE" w:rsidR="00C41926" w:rsidRPr="005078B1" w:rsidRDefault="00C41926" w:rsidP="00BD58A4">
            <w:pPr>
              <w:contextualSpacing/>
              <w:rPr>
                <w:rFonts w:ascii="Mangal Pro" w:hAnsi="Mangal Pro" w:cs="Mangal Pro"/>
                <w:b/>
                <w:bCs/>
                <w:sz w:val="20"/>
                <w:szCs w:val="20"/>
                <w:u w:val="single"/>
              </w:rPr>
            </w:pPr>
            <w:r w:rsidRPr="005078B1">
              <w:rPr>
                <w:rFonts w:ascii="Mangal Pro" w:hAnsi="Mangal Pro" w:cs="Mangal Pro"/>
                <w:b/>
                <w:bCs/>
                <w:sz w:val="20"/>
                <w:szCs w:val="20"/>
                <w:u w:val="single"/>
              </w:rPr>
              <w:t>Activity</w:t>
            </w:r>
          </w:p>
        </w:tc>
        <w:tc>
          <w:tcPr>
            <w:tcW w:w="2309" w:type="dxa"/>
          </w:tcPr>
          <w:p w14:paraId="1C56F9A3" w14:textId="7B760337" w:rsidR="00C41926" w:rsidRPr="005078B1" w:rsidRDefault="00C41926" w:rsidP="00BD58A4">
            <w:pPr>
              <w:contextualSpacing/>
              <w:rPr>
                <w:rFonts w:ascii="Mangal Pro" w:hAnsi="Mangal Pro" w:cs="Mangal Pro"/>
                <w:b/>
                <w:bCs/>
                <w:sz w:val="20"/>
                <w:szCs w:val="20"/>
                <w:u w:val="single"/>
              </w:rPr>
            </w:pPr>
            <w:r w:rsidRPr="005078B1">
              <w:rPr>
                <w:rFonts w:ascii="Mangal Pro" w:hAnsi="Mangal Pro" w:cs="Mangal Pro"/>
                <w:b/>
                <w:bCs/>
                <w:sz w:val="20"/>
                <w:szCs w:val="20"/>
                <w:u w:val="single"/>
              </w:rPr>
              <w:t>Responsible Party</w:t>
            </w:r>
          </w:p>
        </w:tc>
        <w:tc>
          <w:tcPr>
            <w:tcW w:w="2277" w:type="dxa"/>
          </w:tcPr>
          <w:p w14:paraId="4FB393E4" w14:textId="34BF3DD6" w:rsidR="00C41926" w:rsidRPr="005078B1" w:rsidRDefault="00C41926" w:rsidP="00BD58A4">
            <w:pPr>
              <w:contextualSpacing/>
              <w:rPr>
                <w:rFonts w:ascii="Mangal Pro" w:hAnsi="Mangal Pro" w:cs="Mangal Pro"/>
                <w:b/>
                <w:bCs/>
                <w:sz w:val="20"/>
                <w:szCs w:val="20"/>
                <w:u w:val="single"/>
              </w:rPr>
            </w:pPr>
            <w:r w:rsidRPr="005078B1">
              <w:rPr>
                <w:rFonts w:ascii="Mangal Pro" w:hAnsi="Mangal Pro" w:cs="Mangal Pro"/>
                <w:b/>
                <w:bCs/>
                <w:sz w:val="20"/>
                <w:szCs w:val="20"/>
                <w:u w:val="single"/>
              </w:rPr>
              <w:t>Outcome/Deliverable</w:t>
            </w:r>
          </w:p>
        </w:tc>
      </w:tr>
      <w:tr w:rsidR="005571EA" w14:paraId="24FF72FA" w14:textId="77777777" w:rsidTr="005078B1">
        <w:tc>
          <w:tcPr>
            <w:tcW w:w="1272" w:type="dxa"/>
          </w:tcPr>
          <w:p w14:paraId="4CCDD478" w14:textId="0E440D8C" w:rsidR="00C41926" w:rsidRPr="005078B1" w:rsidRDefault="00C41926" w:rsidP="00BD58A4">
            <w:pPr>
              <w:contextualSpacing/>
              <w:rPr>
                <w:rFonts w:ascii="Mangal Pro" w:hAnsi="Mangal Pro" w:cs="Mangal Pro"/>
                <w:sz w:val="18"/>
                <w:szCs w:val="18"/>
              </w:rPr>
            </w:pPr>
            <w:r w:rsidRPr="005078B1">
              <w:rPr>
                <w:rFonts w:ascii="Mangal Pro" w:hAnsi="Mangal Pro" w:cs="Mangal Pro"/>
                <w:sz w:val="18"/>
                <w:szCs w:val="18"/>
              </w:rPr>
              <w:t>End of each semester (December &amp; May)</w:t>
            </w:r>
          </w:p>
        </w:tc>
        <w:tc>
          <w:tcPr>
            <w:tcW w:w="3492" w:type="dxa"/>
          </w:tcPr>
          <w:p w14:paraId="0F5CEB32" w14:textId="02D3260E" w:rsidR="00C41926" w:rsidRPr="005571EA" w:rsidRDefault="00C41926" w:rsidP="00BD58A4">
            <w:pPr>
              <w:contextualSpacing/>
              <w:rPr>
                <w:rFonts w:ascii="Mangal Pro" w:hAnsi="Mangal Pro" w:cs="Mangal Pro"/>
                <w:sz w:val="20"/>
                <w:szCs w:val="20"/>
              </w:rPr>
            </w:pPr>
            <w:r w:rsidRPr="005571EA">
              <w:rPr>
                <w:rFonts w:ascii="Mangal Pro" w:hAnsi="Mangal Pro" w:cs="Mangal Pro"/>
                <w:sz w:val="20"/>
                <w:szCs w:val="20"/>
              </w:rPr>
              <w:t>Departmental</w:t>
            </w:r>
            <w:r w:rsidR="005571EA">
              <w:rPr>
                <w:rFonts w:ascii="Mangal Pro" w:hAnsi="Mangal Pro" w:cs="Mangal Pro"/>
                <w:sz w:val="20"/>
                <w:szCs w:val="20"/>
              </w:rPr>
              <w:t xml:space="preserve">/divisional </w:t>
            </w:r>
            <w:r w:rsidRPr="005571EA">
              <w:rPr>
                <w:rFonts w:ascii="Mangal Pro" w:hAnsi="Mangal Pro" w:cs="Mangal Pro"/>
                <w:sz w:val="20"/>
                <w:szCs w:val="20"/>
              </w:rPr>
              <w:t>reflections and SSAC review of SEA funded activities</w:t>
            </w:r>
          </w:p>
        </w:tc>
        <w:tc>
          <w:tcPr>
            <w:tcW w:w="2309" w:type="dxa"/>
          </w:tcPr>
          <w:p w14:paraId="7AB78A58" w14:textId="3D7FED51" w:rsidR="00C41926" w:rsidRPr="005571EA" w:rsidRDefault="00C41926" w:rsidP="00BD58A4">
            <w:pPr>
              <w:contextualSpacing/>
              <w:rPr>
                <w:rFonts w:ascii="Mangal Pro" w:hAnsi="Mangal Pro" w:cs="Mangal Pro"/>
                <w:sz w:val="20"/>
                <w:szCs w:val="20"/>
              </w:rPr>
            </w:pPr>
            <w:r w:rsidRPr="005571EA">
              <w:rPr>
                <w:rFonts w:ascii="Mangal Pro" w:hAnsi="Mangal Pro" w:cs="Mangal Pro"/>
                <w:sz w:val="20"/>
                <w:szCs w:val="20"/>
              </w:rPr>
              <w:t>Departments</w:t>
            </w:r>
            <w:r w:rsidR="005571EA">
              <w:rPr>
                <w:rFonts w:ascii="Mangal Pro" w:hAnsi="Mangal Pro" w:cs="Mangal Pro"/>
                <w:sz w:val="20"/>
                <w:szCs w:val="20"/>
              </w:rPr>
              <w:t>, divisions,</w:t>
            </w:r>
            <w:r w:rsidRPr="005571EA">
              <w:rPr>
                <w:rFonts w:ascii="Mangal Pro" w:hAnsi="Mangal Pro" w:cs="Mangal Pro"/>
                <w:sz w:val="20"/>
                <w:szCs w:val="20"/>
              </w:rPr>
              <w:t xml:space="preserve"> &amp; SSAC</w:t>
            </w:r>
          </w:p>
        </w:tc>
        <w:tc>
          <w:tcPr>
            <w:tcW w:w="2277" w:type="dxa"/>
          </w:tcPr>
          <w:p w14:paraId="6E43401C" w14:textId="767D34A6" w:rsidR="00C41926" w:rsidRPr="005571EA" w:rsidRDefault="00C41926" w:rsidP="00BD58A4">
            <w:pPr>
              <w:contextualSpacing/>
              <w:rPr>
                <w:rFonts w:ascii="Mangal Pro" w:hAnsi="Mangal Pro" w:cs="Mangal Pro"/>
                <w:sz w:val="20"/>
                <w:szCs w:val="20"/>
              </w:rPr>
            </w:pPr>
            <w:r w:rsidRPr="005571EA">
              <w:rPr>
                <w:rFonts w:ascii="Mangal Pro" w:hAnsi="Mangal Pro" w:cs="Mangal Pro"/>
                <w:sz w:val="20"/>
                <w:szCs w:val="20"/>
              </w:rPr>
              <w:t>Semester summary and progress report.</w:t>
            </w:r>
          </w:p>
        </w:tc>
      </w:tr>
      <w:tr w:rsidR="005571EA" w14:paraId="79771A6E" w14:textId="77777777" w:rsidTr="005078B1">
        <w:tc>
          <w:tcPr>
            <w:tcW w:w="1272" w:type="dxa"/>
          </w:tcPr>
          <w:p w14:paraId="76EA9D96" w14:textId="60075D91" w:rsidR="00C41926" w:rsidRPr="005078B1" w:rsidRDefault="00C41926" w:rsidP="00BD58A4">
            <w:pPr>
              <w:contextualSpacing/>
              <w:rPr>
                <w:rFonts w:ascii="Mangal Pro" w:hAnsi="Mangal Pro" w:cs="Mangal Pro"/>
                <w:sz w:val="18"/>
                <w:szCs w:val="18"/>
              </w:rPr>
            </w:pPr>
            <w:r w:rsidRPr="005078B1">
              <w:rPr>
                <w:rFonts w:ascii="Mangal Pro" w:hAnsi="Mangal Pro" w:cs="Mangal Pro"/>
                <w:sz w:val="18"/>
                <w:szCs w:val="18"/>
              </w:rPr>
              <w:t>Annually by June 30</w:t>
            </w:r>
            <w:r w:rsidRPr="005078B1">
              <w:rPr>
                <w:rFonts w:ascii="Mangal Pro" w:hAnsi="Mangal Pro" w:cs="Mangal Pro"/>
                <w:sz w:val="18"/>
                <w:szCs w:val="18"/>
                <w:vertAlign w:val="superscript"/>
              </w:rPr>
              <w:t>th</w:t>
            </w:r>
          </w:p>
        </w:tc>
        <w:tc>
          <w:tcPr>
            <w:tcW w:w="3492" w:type="dxa"/>
          </w:tcPr>
          <w:p w14:paraId="21AC693F" w14:textId="769D6D07" w:rsidR="00C41926" w:rsidRPr="005571EA" w:rsidRDefault="00C41926" w:rsidP="00BD58A4">
            <w:pPr>
              <w:contextualSpacing/>
              <w:rPr>
                <w:rFonts w:ascii="Mangal Pro" w:hAnsi="Mangal Pro" w:cs="Mangal Pro"/>
                <w:sz w:val="20"/>
                <w:szCs w:val="20"/>
              </w:rPr>
            </w:pPr>
            <w:r w:rsidRPr="005571EA">
              <w:rPr>
                <w:rFonts w:ascii="Mangal Pro" w:hAnsi="Mangal Pro" w:cs="Mangal Pro"/>
                <w:sz w:val="20"/>
                <w:szCs w:val="20"/>
              </w:rPr>
              <w:t xml:space="preserve">Comprehensive equity evaluation using institutional data, program </w:t>
            </w:r>
            <w:r w:rsidR="005571EA" w:rsidRPr="005571EA">
              <w:rPr>
                <w:rFonts w:ascii="Mangal Pro" w:hAnsi="Mangal Pro" w:cs="Mangal Pro"/>
                <w:sz w:val="20"/>
                <w:szCs w:val="20"/>
              </w:rPr>
              <w:t>reflections, and student feedback</w:t>
            </w:r>
          </w:p>
        </w:tc>
        <w:tc>
          <w:tcPr>
            <w:tcW w:w="2309" w:type="dxa"/>
          </w:tcPr>
          <w:p w14:paraId="6E4E6323" w14:textId="79122DDF" w:rsidR="00C41926" w:rsidRPr="005571EA" w:rsidRDefault="005571EA" w:rsidP="00BD58A4">
            <w:pPr>
              <w:contextualSpacing/>
              <w:rPr>
                <w:rFonts w:ascii="Mangal Pro" w:hAnsi="Mangal Pro" w:cs="Mangal Pro"/>
                <w:sz w:val="20"/>
                <w:szCs w:val="20"/>
              </w:rPr>
            </w:pPr>
            <w:r w:rsidRPr="005571EA">
              <w:rPr>
                <w:rFonts w:ascii="Mangal Pro" w:hAnsi="Mangal Pro" w:cs="Mangal Pro"/>
                <w:sz w:val="20"/>
                <w:szCs w:val="20"/>
              </w:rPr>
              <w:t>RPIE/SSAC/SEA</w:t>
            </w:r>
          </w:p>
        </w:tc>
        <w:tc>
          <w:tcPr>
            <w:tcW w:w="2277" w:type="dxa"/>
          </w:tcPr>
          <w:p w14:paraId="503E19F8" w14:textId="29EEAAFF" w:rsidR="00C41926" w:rsidRPr="005571EA" w:rsidRDefault="005571EA" w:rsidP="00BD58A4">
            <w:pPr>
              <w:contextualSpacing/>
              <w:rPr>
                <w:rFonts w:ascii="Mangal Pro" w:hAnsi="Mangal Pro" w:cs="Mangal Pro"/>
                <w:sz w:val="20"/>
                <w:szCs w:val="20"/>
              </w:rPr>
            </w:pPr>
            <w:r w:rsidRPr="005571EA">
              <w:rPr>
                <w:rFonts w:ascii="Mangal Pro" w:hAnsi="Mangal Pro" w:cs="Mangal Pro"/>
                <w:sz w:val="20"/>
                <w:szCs w:val="20"/>
              </w:rPr>
              <w:t>Annual Equity Progress will be shared with the campus community.</w:t>
            </w:r>
          </w:p>
        </w:tc>
      </w:tr>
      <w:tr w:rsidR="005571EA" w14:paraId="16F568CE" w14:textId="77777777" w:rsidTr="005078B1">
        <w:tc>
          <w:tcPr>
            <w:tcW w:w="1272" w:type="dxa"/>
          </w:tcPr>
          <w:p w14:paraId="693DD7E8" w14:textId="743609E9" w:rsidR="00C41926" w:rsidRPr="005078B1" w:rsidRDefault="005571EA" w:rsidP="00BD58A4">
            <w:pPr>
              <w:contextualSpacing/>
              <w:rPr>
                <w:rFonts w:ascii="Mangal Pro" w:hAnsi="Mangal Pro" w:cs="Mangal Pro"/>
                <w:sz w:val="18"/>
                <w:szCs w:val="18"/>
              </w:rPr>
            </w:pPr>
            <w:r w:rsidRPr="005078B1">
              <w:rPr>
                <w:rFonts w:ascii="Mangal Pro" w:hAnsi="Mangal Pro" w:cs="Mangal Pro"/>
                <w:sz w:val="18"/>
                <w:szCs w:val="18"/>
              </w:rPr>
              <w:t>August (start of academic year</w:t>
            </w:r>
          </w:p>
        </w:tc>
        <w:tc>
          <w:tcPr>
            <w:tcW w:w="3492" w:type="dxa"/>
          </w:tcPr>
          <w:p w14:paraId="0490D97E" w14:textId="6DD7C60F" w:rsidR="00C41926" w:rsidRPr="005571EA" w:rsidRDefault="005571EA" w:rsidP="00BD58A4">
            <w:pPr>
              <w:contextualSpacing/>
              <w:rPr>
                <w:rFonts w:ascii="Mangal Pro" w:hAnsi="Mangal Pro" w:cs="Mangal Pro"/>
                <w:sz w:val="20"/>
                <w:szCs w:val="20"/>
              </w:rPr>
            </w:pPr>
            <w:r>
              <w:rPr>
                <w:rFonts w:ascii="Mangal Pro" w:hAnsi="Mangal Pro" w:cs="Mangal Pro"/>
                <w:sz w:val="20"/>
                <w:szCs w:val="20"/>
              </w:rPr>
              <w:t>Presentation of prior year outcomes, updated goals, and planned interventions</w:t>
            </w:r>
          </w:p>
        </w:tc>
        <w:tc>
          <w:tcPr>
            <w:tcW w:w="2309" w:type="dxa"/>
          </w:tcPr>
          <w:p w14:paraId="43F47411" w14:textId="46A06A77" w:rsidR="00C41926" w:rsidRPr="005571EA" w:rsidRDefault="005571EA" w:rsidP="00BD58A4">
            <w:pPr>
              <w:contextualSpacing/>
              <w:rPr>
                <w:rFonts w:ascii="Mangal Pro" w:hAnsi="Mangal Pro" w:cs="Mangal Pro"/>
                <w:sz w:val="20"/>
                <w:szCs w:val="20"/>
              </w:rPr>
            </w:pPr>
            <w:r>
              <w:rPr>
                <w:rFonts w:ascii="Mangal Pro" w:hAnsi="Mangal Pro" w:cs="Mangal Pro"/>
                <w:sz w:val="20"/>
                <w:szCs w:val="20"/>
              </w:rPr>
              <w:t>Student Services &amp; Instructional Divisions, SSAC, SEA</w:t>
            </w:r>
          </w:p>
        </w:tc>
        <w:tc>
          <w:tcPr>
            <w:tcW w:w="2277" w:type="dxa"/>
          </w:tcPr>
          <w:p w14:paraId="141579FC" w14:textId="2E603BC8" w:rsidR="00C41926" w:rsidRPr="005078B1" w:rsidRDefault="005078B1" w:rsidP="00BD58A4">
            <w:pPr>
              <w:contextualSpacing/>
              <w:rPr>
                <w:rFonts w:ascii="Mangal Pro" w:hAnsi="Mangal Pro" w:cs="Mangal Pro"/>
                <w:sz w:val="20"/>
                <w:szCs w:val="20"/>
              </w:rPr>
            </w:pPr>
            <w:r w:rsidRPr="005078B1">
              <w:rPr>
                <w:rFonts w:ascii="Mangal Pro" w:hAnsi="Mangal Pro" w:cs="Mangal Pro"/>
                <w:sz w:val="20"/>
                <w:szCs w:val="20"/>
              </w:rPr>
              <w:t>Shared presentation at Convocation, governance committees, and campus newsletter</w:t>
            </w:r>
          </w:p>
        </w:tc>
      </w:tr>
      <w:tr w:rsidR="005571EA" w14:paraId="22CC2196" w14:textId="77777777" w:rsidTr="005078B1">
        <w:tc>
          <w:tcPr>
            <w:tcW w:w="1272" w:type="dxa"/>
          </w:tcPr>
          <w:p w14:paraId="5FC25969" w14:textId="0D6ACE87" w:rsidR="00C41926" w:rsidRPr="005078B1" w:rsidRDefault="005078B1" w:rsidP="00BD58A4">
            <w:pPr>
              <w:contextualSpacing/>
              <w:rPr>
                <w:rFonts w:ascii="Mangal Pro" w:hAnsi="Mangal Pro" w:cs="Mangal Pro"/>
                <w:sz w:val="18"/>
                <w:szCs w:val="18"/>
              </w:rPr>
            </w:pPr>
            <w:r w:rsidRPr="005078B1">
              <w:rPr>
                <w:rFonts w:ascii="Mangal Pro" w:hAnsi="Mangal Pro" w:cs="Mangal Pro"/>
                <w:sz w:val="18"/>
                <w:szCs w:val="18"/>
              </w:rPr>
              <w:lastRenderedPageBreak/>
              <w:t>Ongoing</w:t>
            </w:r>
          </w:p>
        </w:tc>
        <w:tc>
          <w:tcPr>
            <w:tcW w:w="3492" w:type="dxa"/>
          </w:tcPr>
          <w:p w14:paraId="3DED0249" w14:textId="7FBDCC83" w:rsidR="00C41926" w:rsidRPr="005571EA" w:rsidRDefault="005078B1" w:rsidP="00BD58A4">
            <w:pPr>
              <w:contextualSpacing/>
              <w:rPr>
                <w:rFonts w:ascii="Mangal Pro" w:hAnsi="Mangal Pro" w:cs="Mangal Pro"/>
                <w:sz w:val="20"/>
                <w:szCs w:val="20"/>
              </w:rPr>
            </w:pPr>
            <w:r>
              <w:rPr>
                <w:rFonts w:ascii="Mangal Pro" w:hAnsi="Mangal Pro" w:cs="Mangal Pro"/>
                <w:sz w:val="20"/>
                <w:szCs w:val="20"/>
              </w:rPr>
              <w:t>Continuous student and stakeholder feedback (listening sessions, focus groups, surveys). Divisional meetings, cross collaboration with committees</w:t>
            </w:r>
          </w:p>
        </w:tc>
        <w:tc>
          <w:tcPr>
            <w:tcW w:w="2309" w:type="dxa"/>
          </w:tcPr>
          <w:p w14:paraId="487D8F00" w14:textId="1EE248C9" w:rsidR="00C41926" w:rsidRPr="005571EA" w:rsidRDefault="005078B1" w:rsidP="00BD58A4">
            <w:pPr>
              <w:contextualSpacing/>
              <w:rPr>
                <w:rFonts w:ascii="Mangal Pro" w:hAnsi="Mangal Pro" w:cs="Mangal Pro"/>
                <w:sz w:val="20"/>
                <w:szCs w:val="20"/>
              </w:rPr>
            </w:pPr>
            <w:r>
              <w:rPr>
                <w:rFonts w:ascii="Mangal Pro" w:hAnsi="Mangal Pro" w:cs="Mangal Pro"/>
                <w:sz w:val="20"/>
                <w:szCs w:val="20"/>
              </w:rPr>
              <w:t>SSAC, ASG, Divisions, Departments, Equity Partners</w:t>
            </w:r>
          </w:p>
        </w:tc>
        <w:tc>
          <w:tcPr>
            <w:tcW w:w="2277" w:type="dxa"/>
          </w:tcPr>
          <w:p w14:paraId="13E3BCBC" w14:textId="4E292F41" w:rsidR="00C41926" w:rsidRPr="005571EA" w:rsidRDefault="005078B1" w:rsidP="00BD58A4">
            <w:pPr>
              <w:contextualSpacing/>
              <w:rPr>
                <w:rFonts w:ascii="Mangal Pro" w:hAnsi="Mangal Pro" w:cs="Mangal Pro"/>
                <w:sz w:val="20"/>
                <w:szCs w:val="20"/>
              </w:rPr>
            </w:pPr>
            <w:r>
              <w:rPr>
                <w:rFonts w:ascii="Mangal Pro" w:hAnsi="Mangal Pro" w:cs="Mangal Pro"/>
                <w:sz w:val="20"/>
                <w:szCs w:val="20"/>
              </w:rPr>
              <w:t>Real-time improvement of activities and initiatives.</w:t>
            </w:r>
          </w:p>
        </w:tc>
      </w:tr>
    </w:tbl>
    <w:p w14:paraId="45D24890" w14:textId="77777777" w:rsidR="00937F9A" w:rsidRDefault="00937F9A" w:rsidP="00BD58A4">
      <w:pPr>
        <w:spacing w:line="240" w:lineRule="auto"/>
        <w:contextualSpacing/>
        <w:rPr>
          <w:rFonts w:ascii="Mangal Pro" w:hAnsi="Mangal Pro" w:cs="Mangal Pro"/>
          <w:b/>
          <w:bCs/>
          <w:sz w:val="22"/>
          <w:szCs w:val="22"/>
        </w:rPr>
      </w:pPr>
    </w:p>
    <w:p w14:paraId="18AE7318" w14:textId="173E2306" w:rsidR="00BD58A4" w:rsidRPr="00A055BE" w:rsidRDefault="00BD58A4" w:rsidP="00BD58A4">
      <w:pPr>
        <w:spacing w:line="240" w:lineRule="auto"/>
        <w:contextualSpacing/>
        <w:rPr>
          <w:rFonts w:ascii="Mangal Pro" w:hAnsi="Mangal Pro" w:cs="Mangal Pro"/>
          <w:b/>
          <w:bCs/>
          <w:sz w:val="22"/>
          <w:szCs w:val="22"/>
        </w:rPr>
      </w:pPr>
      <w:r w:rsidRPr="00A055BE">
        <w:rPr>
          <w:rFonts w:ascii="Mangal Pro" w:hAnsi="Mangal Pro" w:cs="Mangal Pro"/>
          <w:b/>
          <w:bCs/>
          <w:sz w:val="22"/>
          <w:szCs w:val="22"/>
        </w:rPr>
        <w:t>Alignment with Vision 2030 and Chancellor’s Office Requirements</w:t>
      </w:r>
    </w:p>
    <w:p w14:paraId="77822FAA" w14:textId="77777777" w:rsidR="00BD58A4" w:rsidRDefault="00BD58A4" w:rsidP="00BD58A4">
      <w:pPr>
        <w:spacing w:line="240" w:lineRule="auto"/>
        <w:contextualSpacing/>
        <w:rPr>
          <w:rFonts w:ascii="Mangal Pro" w:hAnsi="Mangal Pro" w:cs="Mangal Pro"/>
          <w:sz w:val="22"/>
          <w:szCs w:val="22"/>
        </w:rPr>
      </w:pPr>
    </w:p>
    <w:p w14:paraId="586B85B1" w14:textId="77777777" w:rsidR="00BD58A4" w:rsidRDefault="00BD58A4" w:rsidP="00BD58A4">
      <w:pPr>
        <w:spacing w:line="240" w:lineRule="auto"/>
        <w:contextualSpacing/>
        <w:rPr>
          <w:rFonts w:ascii="Mangal Pro" w:hAnsi="Mangal Pro" w:cs="Mangal Pro"/>
          <w:sz w:val="22"/>
          <w:szCs w:val="22"/>
        </w:rPr>
      </w:pPr>
      <w:r w:rsidRPr="009800F1">
        <w:rPr>
          <w:rFonts w:ascii="Mangal Pro" w:hAnsi="Mangal Pro" w:cs="Mangal Pro"/>
          <w:sz w:val="22"/>
          <w:szCs w:val="22"/>
        </w:rPr>
        <w:t>SBVC’s evaluation process aligns with the California Community Colleges Vision 2030 framework, specifically under Goal 1: Equity in Success, which emphasizes closing racial equity gaps and increasing completion rates with equity. Data collected through this ongoing review process supports the college’s contribution to statewide metrics on student achievement, transfer, and workforce outcomes.</w:t>
      </w:r>
    </w:p>
    <w:p w14:paraId="0E961415" w14:textId="77777777" w:rsidR="005078B1" w:rsidRPr="009800F1" w:rsidRDefault="005078B1" w:rsidP="00BD58A4">
      <w:pPr>
        <w:spacing w:line="240" w:lineRule="auto"/>
        <w:contextualSpacing/>
        <w:rPr>
          <w:rFonts w:ascii="Mangal Pro" w:hAnsi="Mangal Pro" w:cs="Mangal Pro"/>
          <w:sz w:val="22"/>
          <w:szCs w:val="22"/>
        </w:rPr>
      </w:pPr>
    </w:p>
    <w:p w14:paraId="2FF4B7BC" w14:textId="77777777" w:rsidR="00BD58A4" w:rsidRDefault="00BD58A4" w:rsidP="00BD58A4">
      <w:pPr>
        <w:spacing w:line="240" w:lineRule="auto"/>
        <w:contextualSpacing/>
        <w:rPr>
          <w:rFonts w:ascii="Mangal Pro" w:hAnsi="Mangal Pro" w:cs="Mangal Pro"/>
          <w:sz w:val="22"/>
          <w:szCs w:val="22"/>
        </w:rPr>
      </w:pPr>
      <w:r w:rsidRPr="009800F1">
        <w:rPr>
          <w:rFonts w:ascii="Mangal Pro" w:hAnsi="Mangal Pro" w:cs="Mangal Pro"/>
          <w:sz w:val="22"/>
          <w:szCs w:val="22"/>
        </w:rPr>
        <w:t>Additionally, SBVC ensures compliance with California Community Colleges Chancellor’s Office (CCCCO) requirements for Student Equity and Achievement (SEA) Program reporting. The college submits annual updates and outcome data as part of the statewide accountability framework, using these reports to inform local continuous improvement and strengthen the connection between college-level and systemwide equity efforts.</w:t>
      </w:r>
    </w:p>
    <w:p w14:paraId="53DC00E4" w14:textId="77777777" w:rsidR="00CE67AB" w:rsidRDefault="00CE67AB" w:rsidP="00BD58A4">
      <w:pPr>
        <w:spacing w:line="240" w:lineRule="auto"/>
        <w:contextualSpacing/>
        <w:rPr>
          <w:rFonts w:ascii="Mangal Pro" w:hAnsi="Mangal Pro" w:cs="Mangal Pro"/>
          <w:sz w:val="22"/>
          <w:szCs w:val="22"/>
        </w:rPr>
      </w:pPr>
    </w:p>
    <w:p w14:paraId="0C4309DA" w14:textId="77777777" w:rsidR="00CE67AB" w:rsidRPr="009800F1" w:rsidRDefault="00CE67AB" w:rsidP="00CE67AB">
      <w:pPr>
        <w:spacing w:line="240" w:lineRule="auto"/>
        <w:contextualSpacing/>
        <w:rPr>
          <w:rFonts w:ascii="Mangal Pro" w:hAnsi="Mangal Pro" w:cs="Mangal Pro"/>
          <w:sz w:val="22"/>
          <w:szCs w:val="22"/>
        </w:rPr>
      </w:pPr>
      <w:r w:rsidRPr="009800F1">
        <w:rPr>
          <w:rFonts w:ascii="Mangal Pro" w:hAnsi="Mangal Pro" w:cs="Mangal Pro"/>
          <w:sz w:val="22"/>
          <w:szCs w:val="22"/>
        </w:rPr>
        <w:t>Through consistent evaluation, reflection, and transparent communication, SBVC maintains a living Student Equity Plan that evolves with the needs of its students and community. Findings from the annual evaluation cycle inform institutional planning processes, program review, resource allocation, and professional development priorities.</w:t>
      </w:r>
    </w:p>
    <w:p w14:paraId="02DDB31C" w14:textId="3C1A2B89" w:rsidR="00CE67AB" w:rsidRPr="009800F1" w:rsidRDefault="00CE67AB" w:rsidP="00CE67AB">
      <w:pPr>
        <w:spacing w:line="240" w:lineRule="auto"/>
        <w:contextualSpacing/>
        <w:rPr>
          <w:rFonts w:ascii="Mangal Pro" w:hAnsi="Mangal Pro" w:cs="Mangal Pro"/>
          <w:sz w:val="22"/>
          <w:szCs w:val="22"/>
        </w:rPr>
      </w:pPr>
      <w:r w:rsidRPr="009800F1">
        <w:rPr>
          <w:rFonts w:ascii="Mangal Pro" w:hAnsi="Mangal Pro" w:cs="Mangal Pro"/>
          <w:sz w:val="22"/>
          <w:szCs w:val="22"/>
        </w:rPr>
        <w:t xml:space="preserve">This approach ensures that equity remains central to the college’s mission and that all stakeholders, students, classified professionals, faculty, administrators, and community partners </w:t>
      </w:r>
      <w:r w:rsidR="005078B1">
        <w:rPr>
          <w:rFonts w:ascii="Mangal Pro" w:hAnsi="Mangal Pro" w:cs="Mangal Pro"/>
          <w:sz w:val="22"/>
          <w:szCs w:val="22"/>
        </w:rPr>
        <w:t xml:space="preserve">will </w:t>
      </w:r>
      <w:r w:rsidRPr="009800F1">
        <w:rPr>
          <w:rFonts w:ascii="Mangal Pro" w:hAnsi="Mangal Pro" w:cs="Mangal Pro"/>
          <w:sz w:val="22"/>
          <w:szCs w:val="22"/>
        </w:rPr>
        <w:t xml:space="preserve">share </w:t>
      </w:r>
      <w:r w:rsidR="005078B1">
        <w:rPr>
          <w:rFonts w:ascii="Mangal Pro" w:hAnsi="Mangal Pro" w:cs="Mangal Pro"/>
          <w:sz w:val="22"/>
          <w:szCs w:val="22"/>
        </w:rPr>
        <w:t xml:space="preserve">the </w:t>
      </w:r>
      <w:r w:rsidRPr="009800F1">
        <w:rPr>
          <w:rFonts w:ascii="Mangal Pro" w:hAnsi="Mangal Pro" w:cs="Mangal Pro"/>
          <w:sz w:val="22"/>
          <w:szCs w:val="22"/>
        </w:rPr>
        <w:t>responsibility for advancing SBVC’s common equity goals and promoting student success for all.</w:t>
      </w:r>
    </w:p>
    <w:p w14:paraId="3CAB21F8" w14:textId="77777777" w:rsidR="00CE67AB" w:rsidRPr="009800F1" w:rsidRDefault="00CE67AB" w:rsidP="00BD58A4">
      <w:pPr>
        <w:spacing w:line="240" w:lineRule="auto"/>
        <w:contextualSpacing/>
        <w:rPr>
          <w:rFonts w:ascii="Mangal Pro" w:hAnsi="Mangal Pro" w:cs="Mangal Pro"/>
          <w:sz w:val="22"/>
          <w:szCs w:val="22"/>
        </w:rPr>
      </w:pPr>
    </w:p>
    <w:p w14:paraId="3A5AB619" w14:textId="77777777" w:rsidR="00F35FF6" w:rsidRPr="00BD58A4" w:rsidRDefault="00F35FF6" w:rsidP="00F35FF6">
      <w:pPr>
        <w:spacing w:line="240" w:lineRule="auto"/>
        <w:contextualSpacing/>
        <w:jc w:val="both"/>
        <w:rPr>
          <w:rFonts w:ascii="Mangal Pro" w:hAnsi="Mangal Pro" w:cs="Mangal Pro"/>
          <w:sz w:val="22"/>
          <w:szCs w:val="22"/>
        </w:rPr>
      </w:pPr>
    </w:p>
    <w:p w14:paraId="36DE9149" w14:textId="77777777" w:rsidR="001969D9" w:rsidRDefault="001969D9" w:rsidP="001969D9">
      <w:pPr>
        <w:spacing w:line="240" w:lineRule="auto"/>
        <w:contextualSpacing/>
        <w:rPr>
          <w:rFonts w:ascii="Mangal Pro" w:hAnsi="Mangal Pro" w:cs="Mangal Pro"/>
          <w:b/>
          <w:bCs/>
        </w:rPr>
      </w:pPr>
    </w:p>
    <w:p w14:paraId="0F738DF4" w14:textId="0F82E163" w:rsidR="00181817" w:rsidRPr="00A055BE" w:rsidRDefault="00587AFD" w:rsidP="00181817">
      <w:pPr>
        <w:spacing w:line="240" w:lineRule="auto"/>
        <w:contextualSpacing/>
        <w:rPr>
          <w:rFonts w:ascii="Mangal Pro" w:hAnsi="Mangal Pro" w:cs="Mangal Pro"/>
          <w:b/>
          <w:bCs/>
          <w:sz w:val="36"/>
          <w:szCs w:val="36"/>
        </w:rPr>
      </w:pPr>
      <w:r w:rsidRPr="00A055BE">
        <w:rPr>
          <w:rFonts w:ascii="Mangal Pro" w:hAnsi="Mangal Pro" w:cs="Mangal Pro"/>
          <w:b/>
          <w:bCs/>
          <w:sz w:val="36"/>
          <w:szCs w:val="36"/>
        </w:rPr>
        <w:lastRenderedPageBreak/>
        <w:t xml:space="preserve">Section </w:t>
      </w:r>
      <w:r w:rsidR="000F1F3D" w:rsidRPr="00A055BE">
        <w:rPr>
          <w:rFonts w:ascii="Mangal Pro" w:hAnsi="Mangal Pro" w:cs="Mangal Pro"/>
          <w:b/>
          <w:bCs/>
          <w:sz w:val="36"/>
          <w:szCs w:val="36"/>
        </w:rPr>
        <w:t>2: CONTACTS</w:t>
      </w:r>
    </w:p>
    <w:p w14:paraId="544E236E" w14:textId="77777777" w:rsidR="00181817" w:rsidRPr="009800F1" w:rsidRDefault="00181817" w:rsidP="00181817">
      <w:pPr>
        <w:spacing w:line="240" w:lineRule="auto"/>
        <w:contextualSpacing/>
        <w:rPr>
          <w:rFonts w:ascii="Mangal Pro" w:hAnsi="Mangal Pro" w:cs="Mangal Pro"/>
          <w:sz w:val="22"/>
          <w:szCs w:val="22"/>
        </w:rPr>
      </w:pPr>
    </w:p>
    <w:tbl>
      <w:tblPr>
        <w:tblStyle w:val="TableGrid"/>
        <w:tblW w:w="0" w:type="auto"/>
        <w:tblLook w:val="04A0" w:firstRow="1" w:lastRow="0" w:firstColumn="1" w:lastColumn="0" w:noHBand="0" w:noVBand="1"/>
      </w:tblPr>
      <w:tblGrid>
        <w:gridCol w:w="1954"/>
        <w:gridCol w:w="2398"/>
        <w:gridCol w:w="3082"/>
        <w:gridCol w:w="1916"/>
      </w:tblGrid>
      <w:tr w:rsidR="0054438A" w14:paraId="418DDF08" w14:textId="77777777" w:rsidTr="0054438A">
        <w:tc>
          <w:tcPr>
            <w:tcW w:w="2337" w:type="dxa"/>
          </w:tcPr>
          <w:p w14:paraId="5D7ADC18" w14:textId="5B14E165" w:rsidR="0054438A" w:rsidRPr="00260625" w:rsidRDefault="00260625" w:rsidP="00181817">
            <w:pPr>
              <w:contextualSpacing/>
              <w:rPr>
                <w:rFonts w:ascii="Mangal Pro" w:hAnsi="Mangal Pro" w:cs="Mangal Pro"/>
                <w:b/>
                <w:bCs/>
                <w:sz w:val="22"/>
                <w:szCs w:val="22"/>
              </w:rPr>
            </w:pPr>
            <w:r>
              <w:rPr>
                <w:rFonts w:ascii="Mangal Pro" w:hAnsi="Mangal Pro" w:cs="Mangal Pro"/>
                <w:b/>
                <w:bCs/>
                <w:sz w:val="22"/>
                <w:szCs w:val="22"/>
              </w:rPr>
              <w:t>NAME</w:t>
            </w:r>
          </w:p>
        </w:tc>
        <w:tc>
          <w:tcPr>
            <w:tcW w:w="2337" w:type="dxa"/>
          </w:tcPr>
          <w:p w14:paraId="4D5A5F88" w14:textId="362DCEF6" w:rsidR="0054438A" w:rsidRDefault="00260625" w:rsidP="00181817">
            <w:pPr>
              <w:contextualSpacing/>
              <w:rPr>
                <w:rFonts w:ascii="Mangal Pro" w:hAnsi="Mangal Pro" w:cs="Mangal Pro"/>
                <w:sz w:val="22"/>
                <w:szCs w:val="22"/>
              </w:rPr>
            </w:pPr>
            <w:r>
              <w:rPr>
                <w:rFonts w:ascii="Mangal Pro" w:hAnsi="Mangal Pro" w:cs="Mangal Pro"/>
                <w:sz w:val="22"/>
                <w:szCs w:val="22"/>
              </w:rPr>
              <w:t>RESPONSIBILITY</w:t>
            </w:r>
          </w:p>
        </w:tc>
        <w:tc>
          <w:tcPr>
            <w:tcW w:w="2338" w:type="dxa"/>
          </w:tcPr>
          <w:p w14:paraId="1F0FC3F1" w14:textId="4D435C35" w:rsidR="0054438A" w:rsidRDefault="00260625" w:rsidP="00181817">
            <w:pPr>
              <w:contextualSpacing/>
              <w:rPr>
                <w:rFonts w:ascii="Mangal Pro" w:hAnsi="Mangal Pro" w:cs="Mangal Pro"/>
                <w:sz w:val="22"/>
                <w:szCs w:val="22"/>
              </w:rPr>
            </w:pPr>
            <w:r>
              <w:rPr>
                <w:rFonts w:ascii="Mangal Pro" w:hAnsi="Mangal Pro" w:cs="Mangal Pro"/>
                <w:sz w:val="22"/>
                <w:szCs w:val="22"/>
              </w:rPr>
              <w:t>EMAIL ADDRESS</w:t>
            </w:r>
          </w:p>
        </w:tc>
        <w:tc>
          <w:tcPr>
            <w:tcW w:w="2338" w:type="dxa"/>
          </w:tcPr>
          <w:p w14:paraId="3ADCBEBB" w14:textId="669D67F7" w:rsidR="0054438A" w:rsidRDefault="00260625" w:rsidP="00181817">
            <w:pPr>
              <w:contextualSpacing/>
              <w:rPr>
                <w:rFonts w:ascii="Mangal Pro" w:hAnsi="Mangal Pro" w:cs="Mangal Pro"/>
                <w:sz w:val="22"/>
                <w:szCs w:val="22"/>
              </w:rPr>
            </w:pPr>
            <w:r>
              <w:rPr>
                <w:rFonts w:ascii="Mangal Pro" w:hAnsi="Mangal Pro" w:cs="Mangal Pro"/>
                <w:sz w:val="22"/>
                <w:szCs w:val="22"/>
              </w:rPr>
              <w:t>PHONE NUMBER</w:t>
            </w:r>
          </w:p>
        </w:tc>
      </w:tr>
      <w:tr w:rsidR="0054438A" w14:paraId="2F5DF9C6" w14:textId="77777777" w:rsidTr="0054438A">
        <w:tc>
          <w:tcPr>
            <w:tcW w:w="2337" w:type="dxa"/>
          </w:tcPr>
          <w:p w14:paraId="7AB1FA3D" w14:textId="7D2A176D" w:rsidR="0054438A" w:rsidRDefault="00260625" w:rsidP="00181817">
            <w:pPr>
              <w:contextualSpacing/>
              <w:rPr>
                <w:rFonts w:ascii="Mangal Pro" w:hAnsi="Mangal Pro" w:cs="Mangal Pro"/>
                <w:sz w:val="22"/>
                <w:szCs w:val="22"/>
              </w:rPr>
            </w:pPr>
            <w:r>
              <w:rPr>
                <w:rFonts w:ascii="Mangal Pro" w:hAnsi="Mangal Pro" w:cs="Mangal Pro"/>
                <w:sz w:val="22"/>
                <w:szCs w:val="22"/>
              </w:rPr>
              <w:t>Maria Del Carmen Rodriguez</w:t>
            </w:r>
          </w:p>
        </w:tc>
        <w:tc>
          <w:tcPr>
            <w:tcW w:w="2337" w:type="dxa"/>
          </w:tcPr>
          <w:p w14:paraId="18D9E92E" w14:textId="6B36AC87" w:rsidR="0054438A" w:rsidRDefault="00260625" w:rsidP="00181817">
            <w:pPr>
              <w:contextualSpacing/>
              <w:rPr>
                <w:rFonts w:ascii="Mangal Pro" w:hAnsi="Mangal Pro" w:cs="Mangal Pro"/>
                <w:sz w:val="22"/>
                <w:szCs w:val="22"/>
              </w:rPr>
            </w:pPr>
            <w:r>
              <w:rPr>
                <w:rFonts w:ascii="Mangal Pro" w:hAnsi="Mangal Pro" w:cs="Mangal Pro"/>
                <w:sz w:val="22"/>
                <w:szCs w:val="22"/>
              </w:rPr>
              <w:t>Project Lead</w:t>
            </w:r>
          </w:p>
        </w:tc>
        <w:tc>
          <w:tcPr>
            <w:tcW w:w="2338" w:type="dxa"/>
          </w:tcPr>
          <w:p w14:paraId="7AD3364A" w14:textId="6B6D7202" w:rsidR="0054438A" w:rsidRDefault="00260625" w:rsidP="00181817">
            <w:pPr>
              <w:contextualSpacing/>
              <w:rPr>
                <w:rFonts w:ascii="Mangal Pro" w:hAnsi="Mangal Pro" w:cs="Mangal Pro"/>
                <w:sz w:val="22"/>
                <w:szCs w:val="22"/>
              </w:rPr>
            </w:pPr>
            <w:hyperlink r:id="rId16" w:history="1">
              <w:r w:rsidRPr="00654304">
                <w:rPr>
                  <w:rStyle w:val="Hyperlink"/>
                  <w:rFonts w:ascii="Mangal Pro" w:hAnsi="Mangal Pro" w:cs="Mangal Pro"/>
                  <w:sz w:val="22"/>
                  <w:szCs w:val="22"/>
                </w:rPr>
                <w:t>marodrig@sbccd.cc.ca.us</w:t>
              </w:r>
            </w:hyperlink>
          </w:p>
        </w:tc>
        <w:tc>
          <w:tcPr>
            <w:tcW w:w="2338" w:type="dxa"/>
          </w:tcPr>
          <w:p w14:paraId="13D6B803" w14:textId="46711142" w:rsidR="0054438A" w:rsidRDefault="00260625" w:rsidP="00181817">
            <w:pPr>
              <w:contextualSpacing/>
              <w:rPr>
                <w:rFonts w:ascii="Mangal Pro" w:hAnsi="Mangal Pro" w:cs="Mangal Pro"/>
                <w:sz w:val="22"/>
                <w:szCs w:val="22"/>
              </w:rPr>
            </w:pPr>
            <w:r>
              <w:rPr>
                <w:rFonts w:ascii="Mangal Pro" w:hAnsi="Mangal Pro" w:cs="Mangal Pro"/>
                <w:sz w:val="22"/>
                <w:szCs w:val="22"/>
              </w:rPr>
              <w:t>909-384-8592</w:t>
            </w:r>
          </w:p>
        </w:tc>
      </w:tr>
      <w:tr w:rsidR="0054438A" w14:paraId="7C50634D" w14:textId="77777777" w:rsidTr="0054438A">
        <w:tc>
          <w:tcPr>
            <w:tcW w:w="2337" w:type="dxa"/>
          </w:tcPr>
          <w:p w14:paraId="4343DAA0" w14:textId="6B4C8ACA" w:rsidR="0054438A" w:rsidRDefault="00260625" w:rsidP="00181817">
            <w:pPr>
              <w:contextualSpacing/>
              <w:rPr>
                <w:rFonts w:ascii="Mangal Pro" w:hAnsi="Mangal Pro" w:cs="Mangal Pro"/>
                <w:sz w:val="22"/>
                <w:szCs w:val="22"/>
              </w:rPr>
            </w:pPr>
            <w:r>
              <w:rPr>
                <w:rFonts w:ascii="Mangal Pro" w:hAnsi="Mangal Pro" w:cs="Mangal Pro"/>
                <w:sz w:val="22"/>
                <w:szCs w:val="22"/>
              </w:rPr>
              <w:t>Marco Cota</w:t>
            </w:r>
          </w:p>
        </w:tc>
        <w:tc>
          <w:tcPr>
            <w:tcW w:w="2337" w:type="dxa"/>
          </w:tcPr>
          <w:p w14:paraId="1D2700B9" w14:textId="09C087D8" w:rsidR="0054438A" w:rsidRDefault="00260625" w:rsidP="00181817">
            <w:pPr>
              <w:contextualSpacing/>
              <w:rPr>
                <w:rFonts w:ascii="Mangal Pro" w:hAnsi="Mangal Pro" w:cs="Mangal Pro"/>
                <w:sz w:val="22"/>
                <w:szCs w:val="22"/>
              </w:rPr>
            </w:pPr>
            <w:r>
              <w:rPr>
                <w:rFonts w:ascii="Mangal Pro" w:hAnsi="Mangal Pro" w:cs="Mangal Pro"/>
                <w:sz w:val="22"/>
                <w:szCs w:val="22"/>
              </w:rPr>
              <w:t>Alternate Project Lead</w:t>
            </w:r>
          </w:p>
        </w:tc>
        <w:tc>
          <w:tcPr>
            <w:tcW w:w="2338" w:type="dxa"/>
          </w:tcPr>
          <w:p w14:paraId="7C536F74" w14:textId="755763C4" w:rsidR="0054438A" w:rsidRDefault="00585259" w:rsidP="00181817">
            <w:pPr>
              <w:contextualSpacing/>
              <w:rPr>
                <w:rFonts w:ascii="Mangal Pro" w:hAnsi="Mangal Pro" w:cs="Mangal Pro"/>
                <w:sz w:val="22"/>
                <w:szCs w:val="22"/>
              </w:rPr>
            </w:pPr>
            <w:hyperlink r:id="rId17" w:history="1">
              <w:r w:rsidRPr="00654304">
                <w:rPr>
                  <w:rStyle w:val="Hyperlink"/>
                  <w:rFonts w:ascii="Mangal Pro" w:hAnsi="Mangal Pro" w:cs="Mangal Pro"/>
                  <w:sz w:val="22"/>
                  <w:szCs w:val="22"/>
                </w:rPr>
                <w:t>mcota@sbccd.cc.ca.us</w:t>
              </w:r>
            </w:hyperlink>
          </w:p>
        </w:tc>
        <w:tc>
          <w:tcPr>
            <w:tcW w:w="2338" w:type="dxa"/>
          </w:tcPr>
          <w:p w14:paraId="27E7A276" w14:textId="568B1E4C" w:rsidR="0054438A" w:rsidRDefault="00585259" w:rsidP="00181817">
            <w:pPr>
              <w:contextualSpacing/>
              <w:rPr>
                <w:rFonts w:ascii="Mangal Pro" w:hAnsi="Mangal Pro" w:cs="Mangal Pro"/>
                <w:sz w:val="22"/>
                <w:szCs w:val="22"/>
              </w:rPr>
            </w:pPr>
            <w:r>
              <w:rPr>
                <w:rFonts w:ascii="Mangal Pro" w:hAnsi="Mangal Pro" w:cs="Mangal Pro"/>
                <w:sz w:val="22"/>
                <w:szCs w:val="22"/>
              </w:rPr>
              <w:t>909-384-8630</w:t>
            </w:r>
          </w:p>
        </w:tc>
      </w:tr>
      <w:tr w:rsidR="0054438A" w14:paraId="5214FA3B" w14:textId="77777777" w:rsidTr="0054438A">
        <w:tc>
          <w:tcPr>
            <w:tcW w:w="2337" w:type="dxa"/>
          </w:tcPr>
          <w:p w14:paraId="32FE8A64" w14:textId="64A57BC3" w:rsidR="0054438A" w:rsidRDefault="00585259" w:rsidP="00181817">
            <w:pPr>
              <w:contextualSpacing/>
              <w:rPr>
                <w:rFonts w:ascii="Mangal Pro" w:hAnsi="Mangal Pro" w:cs="Mangal Pro"/>
                <w:sz w:val="22"/>
                <w:szCs w:val="22"/>
              </w:rPr>
            </w:pPr>
            <w:r>
              <w:rPr>
                <w:rFonts w:ascii="Mangal Pro" w:hAnsi="Mangal Pro" w:cs="Mangal Pro"/>
                <w:sz w:val="22"/>
                <w:szCs w:val="22"/>
              </w:rPr>
              <w:t>Gilbert Contreras</w:t>
            </w:r>
          </w:p>
        </w:tc>
        <w:tc>
          <w:tcPr>
            <w:tcW w:w="2337" w:type="dxa"/>
          </w:tcPr>
          <w:p w14:paraId="6A0FFD43" w14:textId="3F8CA14E" w:rsidR="0054438A" w:rsidRDefault="00585259" w:rsidP="00181817">
            <w:pPr>
              <w:contextualSpacing/>
              <w:rPr>
                <w:rFonts w:ascii="Mangal Pro" w:hAnsi="Mangal Pro" w:cs="Mangal Pro"/>
                <w:sz w:val="22"/>
                <w:szCs w:val="22"/>
              </w:rPr>
            </w:pPr>
            <w:r>
              <w:rPr>
                <w:rFonts w:ascii="Mangal Pro" w:hAnsi="Mangal Pro" w:cs="Mangal Pro"/>
                <w:sz w:val="22"/>
                <w:szCs w:val="22"/>
              </w:rPr>
              <w:t>Approver: Chancellor/President</w:t>
            </w:r>
          </w:p>
        </w:tc>
        <w:tc>
          <w:tcPr>
            <w:tcW w:w="2338" w:type="dxa"/>
          </w:tcPr>
          <w:p w14:paraId="0273D281" w14:textId="6C163EE9" w:rsidR="0054438A" w:rsidRDefault="00585259" w:rsidP="00181817">
            <w:pPr>
              <w:contextualSpacing/>
              <w:rPr>
                <w:rFonts w:ascii="Mangal Pro" w:hAnsi="Mangal Pro" w:cs="Mangal Pro"/>
                <w:sz w:val="22"/>
                <w:szCs w:val="22"/>
              </w:rPr>
            </w:pPr>
            <w:hyperlink r:id="rId18" w:history="1">
              <w:r w:rsidRPr="00654304">
                <w:rPr>
                  <w:rStyle w:val="Hyperlink"/>
                  <w:rFonts w:ascii="Mangal Pro" w:hAnsi="Mangal Pro" w:cs="Mangal Pro"/>
                  <w:sz w:val="22"/>
                  <w:szCs w:val="22"/>
                </w:rPr>
                <w:t>gcontreras@sbccd.cc.ca.us</w:t>
              </w:r>
            </w:hyperlink>
          </w:p>
        </w:tc>
        <w:tc>
          <w:tcPr>
            <w:tcW w:w="2338" w:type="dxa"/>
          </w:tcPr>
          <w:p w14:paraId="305F4634" w14:textId="288FB077" w:rsidR="0054438A" w:rsidRDefault="008F05AD" w:rsidP="00181817">
            <w:pPr>
              <w:contextualSpacing/>
              <w:rPr>
                <w:rFonts w:ascii="Mangal Pro" w:hAnsi="Mangal Pro" w:cs="Mangal Pro"/>
                <w:sz w:val="22"/>
                <w:szCs w:val="22"/>
              </w:rPr>
            </w:pPr>
            <w:r>
              <w:rPr>
                <w:rFonts w:ascii="Mangal Pro" w:hAnsi="Mangal Pro" w:cs="Mangal Pro"/>
                <w:sz w:val="22"/>
                <w:szCs w:val="22"/>
              </w:rPr>
              <w:t>909-384-8296</w:t>
            </w:r>
          </w:p>
        </w:tc>
      </w:tr>
      <w:tr w:rsidR="0054438A" w14:paraId="02FC7001" w14:textId="77777777" w:rsidTr="0054438A">
        <w:tc>
          <w:tcPr>
            <w:tcW w:w="2337" w:type="dxa"/>
          </w:tcPr>
          <w:p w14:paraId="09D082E7" w14:textId="32945418" w:rsidR="0054438A" w:rsidRDefault="008F05AD" w:rsidP="00181817">
            <w:pPr>
              <w:contextualSpacing/>
              <w:rPr>
                <w:rFonts w:ascii="Mangal Pro" w:hAnsi="Mangal Pro" w:cs="Mangal Pro"/>
                <w:sz w:val="22"/>
                <w:szCs w:val="22"/>
              </w:rPr>
            </w:pPr>
            <w:r>
              <w:rPr>
                <w:rFonts w:ascii="Mangal Pro" w:hAnsi="Mangal Pro" w:cs="Mangal Pro"/>
                <w:sz w:val="22"/>
                <w:szCs w:val="22"/>
              </w:rPr>
              <w:t>Steven Sutorus</w:t>
            </w:r>
          </w:p>
        </w:tc>
        <w:tc>
          <w:tcPr>
            <w:tcW w:w="2337" w:type="dxa"/>
          </w:tcPr>
          <w:p w14:paraId="1F3A86C0" w14:textId="0D124E5D" w:rsidR="0054438A" w:rsidRDefault="008F05AD" w:rsidP="00181817">
            <w:pPr>
              <w:contextualSpacing/>
              <w:rPr>
                <w:rFonts w:ascii="Mangal Pro" w:hAnsi="Mangal Pro" w:cs="Mangal Pro"/>
                <w:sz w:val="22"/>
                <w:szCs w:val="22"/>
              </w:rPr>
            </w:pPr>
            <w:r>
              <w:rPr>
                <w:rFonts w:ascii="Mangal Pro" w:hAnsi="Mangal Pro" w:cs="Mangal Pro"/>
                <w:sz w:val="22"/>
                <w:szCs w:val="22"/>
              </w:rPr>
              <w:t>Approver: Chief Business Officer</w:t>
            </w:r>
          </w:p>
        </w:tc>
        <w:tc>
          <w:tcPr>
            <w:tcW w:w="2338" w:type="dxa"/>
          </w:tcPr>
          <w:p w14:paraId="23503B62" w14:textId="0EF703C4" w:rsidR="0054438A" w:rsidRDefault="008F05AD" w:rsidP="00181817">
            <w:pPr>
              <w:contextualSpacing/>
              <w:rPr>
                <w:rFonts w:ascii="Mangal Pro" w:hAnsi="Mangal Pro" w:cs="Mangal Pro"/>
                <w:sz w:val="22"/>
                <w:szCs w:val="22"/>
              </w:rPr>
            </w:pPr>
            <w:hyperlink r:id="rId19" w:history="1">
              <w:r w:rsidRPr="00654304">
                <w:rPr>
                  <w:rStyle w:val="Hyperlink"/>
                  <w:rFonts w:ascii="Mangal Pro" w:hAnsi="Mangal Pro" w:cs="Mangal Pro"/>
                  <w:sz w:val="22"/>
                  <w:szCs w:val="22"/>
                </w:rPr>
                <w:t>ssutorus@sbccd.cc.ca.us</w:t>
              </w:r>
            </w:hyperlink>
          </w:p>
        </w:tc>
        <w:tc>
          <w:tcPr>
            <w:tcW w:w="2338" w:type="dxa"/>
          </w:tcPr>
          <w:p w14:paraId="5802EAF4" w14:textId="656BCC9C" w:rsidR="0054438A" w:rsidRDefault="007970C4" w:rsidP="00181817">
            <w:pPr>
              <w:contextualSpacing/>
              <w:rPr>
                <w:rFonts w:ascii="Mangal Pro" w:hAnsi="Mangal Pro" w:cs="Mangal Pro"/>
                <w:sz w:val="22"/>
                <w:szCs w:val="22"/>
              </w:rPr>
            </w:pPr>
            <w:r>
              <w:rPr>
                <w:rFonts w:ascii="Mangal Pro" w:hAnsi="Mangal Pro" w:cs="Mangal Pro"/>
                <w:sz w:val="22"/>
                <w:szCs w:val="22"/>
              </w:rPr>
              <w:t>909-382-4031</w:t>
            </w:r>
          </w:p>
        </w:tc>
      </w:tr>
      <w:tr w:rsidR="0054438A" w14:paraId="0087FBEB" w14:textId="77777777" w:rsidTr="0054438A">
        <w:tc>
          <w:tcPr>
            <w:tcW w:w="2337" w:type="dxa"/>
          </w:tcPr>
          <w:p w14:paraId="29619647" w14:textId="5E7E8197" w:rsidR="0054438A" w:rsidRDefault="007970C4" w:rsidP="00181817">
            <w:pPr>
              <w:contextualSpacing/>
              <w:rPr>
                <w:rFonts w:ascii="Mangal Pro" w:hAnsi="Mangal Pro" w:cs="Mangal Pro"/>
                <w:sz w:val="22"/>
                <w:szCs w:val="22"/>
              </w:rPr>
            </w:pPr>
            <w:r>
              <w:rPr>
                <w:rFonts w:ascii="Mangal Pro" w:hAnsi="Mangal Pro" w:cs="Mangal Pro"/>
                <w:sz w:val="22"/>
                <w:szCs w:val="22"/>
              </w:rPr>
              <w:t>Leticia Hector</w:t>
            </w:r>
          </w:p>
        </w:tc>
        <w:tc>
          <w:tcPr>
            <w:tcW w:w="2337" w:type="dxa"/>
          </w:tcPr>
          <w:p w14:paraId="1FCEF950" w14:textId="4BA924EB" w:rsidR="0054438A" w:rsidRDefault="007970C4" w:rsidP="00181817">
            <w:pPr>
              <w:contextualSpacing/>
              <w:rPr>
                <w:rFonts w:ascii="Mangal Pro" w:hAnsi="Mangal Pro" w:cs="Mangal Pro"/>
                <w:sz w:val="22"/>
                <w:szCs w:val="22"/>
              </w:rPr>
            </w:pPr>
            <w:r>
              <w:rPr>
                <w:rFonts w:ascii="Mangal Pro" w:hAnsi="Mangal Pro" w:cs="Mangal Pro"/>
                <w:sz w:val="22"/>
                <w:szCs w:val="22"/>
              </w:rPr>
              <w:t>Approver: Chief Instructional Officer</w:t>
            </w:r>
          </w:p>
        </w:tc>
        <w:tc>
          <w:tcPr>
            <w:tcW w:w="2338" w:type="dxa"/>
          </w:tcPr>
          <w:p w14:paraId="623F4289" w14:textId="5830699A" w:rsidR="0054438A" w:rsidRDefault="007970C4" w:rsidP="00181817">
            <w:pPr>
              <w:contextualSpacing/>
              <w:rPr>
                <w:rFonts w:ascii="Mangal Pro" w:hAnsi="Mangal Pro" w:cs="Mangal Pro"/>
                <w:sz w:val="22"/>
                <w:szCs w:val="22"/>
              </w:rPr>
            </w:pPr>
            <w:hyperlink r:id="rId20" w:history="1">
              <w:r w:rsidRPr="00654304">
                <w:rPr>
                  <w:rStyle w:val="Hyperlink"/>
                  <w:rFonts w:ascii="Mangal Pro" w:hAnsi="Mangal Pro" w:cs="Mangal Pro"/>
                  <w:sz w:val="22"/>
                  <w:szCs w:val="22"/>
                </w:rPr>
                <w:t>lhector@sbccd.cc.ca.us</w:t>
              </w:r>
            </w:hyperlink>
          </w:p>
        </w:tc>
        <w:tc>
          <w:tcPr>
            <w:tcW w:w="2338" w:type="dxa"/>
          </w:tcPr>
          <w:p w14:paraId="2FE85EC2" w14:textId="5DFA7440" w:rsidR="0054438A" w:rsidRDefault="007970C4" w:rsidP="00181817">
            <w:pPr>
              <w:contextualSpacing/>
              <w:rPr>
                <w:rFonts w:ascii="Mangal Pro" w:hAnsi="Mangal Pro" w:cs="Mangal Pro"/>
                <w:sz w:val="22"/>
                <w:szCs w:val="22"/>
              </w:rPr>
            </w:pPr>
            <w:r>
              <w:rPr>
                <w:rFonts w:ascii="Mangal Pro" w:hAnsi="Mangal Pro" w:cs="Mangal Pro"/>
                <w:sz w:val="22"/>
                <w:szCs w:val="22"/>
              </w:rPr>
              <w:t>909</w:t>
            </w:r>
            <w:r w:rsidR="00443710">
              <w:rPr>
                <w:rFonts w:ascii="Mangal Pro" w:hAnsi="Mangal Pro" w:cs="Mangal Pro"/>
                <w:sz w:val="22"/>
                <w:szCs w:val="22"/>
              </w:rPr>
              <w:t>-387-1685</w:t>
            </w:r>
          </w:p>
        </w:tc>
      </w:tr>
      <w:tr w:rsidR="0054438A" w14:paraId="13C1F422" w14:textId="77777777" w:rsidTr="0054438A">
        <w:tc>
          <w:tcPr>
            <w:tcW w:w="2337" w:type="dxa"/>
          </w:tcPr>
          <w:p w14:paraId="7BD805C3" w14:textId="5CAB320A" w:rsidR="0054438A" w:rsidRDefault="00443710" w:rsidP="00181817">
            <w:pPr>
              <w:contextualSpacing/>
              <w:rPr>
                <w:rFonts w:ascii="Mangal Pro" w:hAnsi="Mangal Pro" w:cs="Mangal Pro"/>
                <w:sz w:val="22"/>
                <w:szCs w:val="22"/>
              </w:rPr>
            </w:pPr>
            <w:r>
              <w:rPr>
                <w:rFonts w:ascii="Mangal Pro" w:hAnsi="Mangal Pro" w:cs="Mangal Pro"/>
                <w:sz w:val="22"/>
                <w:szCs w:val="22"/>
              </w:rPr>
              <w:t>Yvonne Gutierrez-Sandoval</w:t>
            </w:r>
          </w:p>
        </w:tc>
        <w:tc>
          <w:tcPr>
            <w:tcW w:w="2337" w:type="dxa"/>
          </w:tcPr>
          <w:p w14:paraId="29620E2B" w14:textId="32E65114" w:rsidR="0054438A" w:rsidRDefault="00443710" w:rsidP="00181817">
            <w:pPr>
              <w:contextualSpacing/>
              <w:rPr>
                <w:rFonts w:ascii="Mangal Pro" w:hAnsi="Mangal Pro" w:cs="Mangal Pro"/>
                <w:sz w:val="22"/>
                <w:szCs w:val="22"/>
              </w:rPr>
            </w:pPr>
            <w:r>
              <w:rPr>
                <w:rFonts w:ascii="Mangal Pro" w:hAnsi="Mangal Pro" w:cs="Mangal Pro"/>
                <w:sz w:val="22"/>
                <w:szCs w:val="22"/>
              </w:rPr>
              <w:t>Approver: Chief Student Services Officer</w:t>
            </w:r>
          </w:p>
        </w:tc>
        <w:tc>
          <w:tcPr>
            <w:tcW w:w="2338" w:type="dxa"/>
          </w:tcPr>
          <w:p w14:paraId="31C63E18" w14:textId="7D97F28D" w:rsidR="0054438A" w:rsidRDefault="00443710" w:rsidP="00181817">
            <w:pPr>
              <w:contextualSpacing/>
              <w:rPr>
                <w:rFonts w:ascii="Mangal Pro" w:hAnsi="Mangal Pro" w:cs="Mangal Pro"/>
                <w:sz w:val="22"/>
                <w:szCs w:val="22"/>
              </w:rPr>
            </w:pPr>
            <w:hyperlink r:id="rId21" w:history="1">
              <w:r w:rsidRPr="00654304">
                <w:rPr>
                  <w:rStyle w:val="Hyperlink"/>
                  <w:rFonts w:ascii="Mangal Pro" w:hAnsi="Mangal Pro" w:cs="Mangal Pro"/>
                  <w:sz w:val="22"/>
                  <w:szCs w:val="22"/>
                </w:rPr>
                <w:t>ygutierrezs@sbccd.cc.ca.us</w:t>
              </w:r>
            </w:hyperlink>
          </w:p>
        </w:tc>
        <w:tc>
          <w:tcPr>
            <w:tcW w:w="2338" w:type="dxa"/>
          </w:tcPr>
          <w:p w14:paraId="1D48FA95" w14:textId="1DAAF61D" w:rsidR="0054438A" w:rsidRDefault="00443710" w:rsidP="00181817">
            <w:pPr>
              <w:contextualSpacing/>
              <w:rPr>
                <w:rFonts w:ascii="Mangal Pro" w:hAnsi="Mangal Pro" w:cs="Mangal Pro"/>
                <w:sz w:val="22"/>
                <w:szCs w:val="22"/>
              </w:rPr>
            </w:pPr>
            <w:r>
              <w:rPr>
                <w:rFonts w:ascii="Mangal Pro" w:hAnsi="Mangal Pro" w:cs="Mangal Pro"/>
                <w:sz w:val="22"/>
                <w:szCs w:val="22"/>
              </w:rPr>
              <w:t>909-</w:t>
            </w:r>
            <w:r w:rsidR="002C5C9B">
              <w:rPr>
                <w:rFonts w:ascii="Mangal Pro" w:hAnsi="Mangal Pro" w:cs="Mangal Pro"/>
                <w:sz w:val="22"/>
                <w:szCs w:val="22"/>
              </w:rPr>
              <w:t>384-8992</w:t>
            </w:r>
          </w:p>
        </w:tc>
      </w:tr>
      <w:tr w:rsidR="0054438A" w14:paraId="6362C261" w14:textId="77777777" w:rsidTr="0054438A">
        <w:tc>
          <w:tcPr>
            <w:tcW w:w="2337" w:type="dxa"/>
          </w:tcPr>
          <w:p w14:paraId="12BF7334" w14:textId="15D419CE" w:rsidR="0054438A" w:rsidRDefault="002C5C9B" w:rsidP="00181817">
            <w:pPr>
              <w:contextualSpacing/>
              <w:rPr>
                <w:rFonts w:ascii="Mangal Pro" w:hAnsi="Mangal Pro" w:cs="Mangal Pro"/>
                <w:sz w:val="22"/>
                <w:szCs w:val="22"/>
              </w:rPr>
            </w:pPr>
            <w:r>
              <w:rPr>
                <w:rFonts w:ascii="Mangal Pro" w:hAnsi="Mangal Pro" w:cs="Mangal Pro"/>
                <w:sz w:val="22"/>
                <w:szCs w:val="22"/>
              </w:rPr>
              <w:t>Patricia Quach</w:t>
            </w:r>
          </w:p>
        </w:tc>
        <w:tc>
          <w:tcPr>
            <w:tcW w:w="2337" w:type="dxa"/>
          </w:tcPr>
          <w:p w14:paraId="55B343DE" w14:textId="6916ECCB" w:rsidR="0054438A" w:rsidRDefault="002C5C9B" w:rsidP="00181817">
            <w:pPr>
              <w:contextualSpacing/>
              <w:rPr>
                <w:rFonts w:ascii="Mangal Pro" w:hAnsi="Mangal Pro" w:cs="Mangal Pro"/>
                <w:sz w:val="22"/>
                <w:szCs w:val="22"/>
              </w:rPr>
            </w:pPr>
            <w:r>
              <w:rPr>
                <w:rFonts w:ascii="Mangal Pro" w:hAnsi="Mangal Pro" w:cs="Mangal Pro"/>
                <w:sz w:val="22"/>
                <w:szCs w:val="22"/>
              </w:rPr>
              <w:t>Approver: Guided Pathways Coordinator/Lead</w:t>
            </w:r>
          </w:p>
        </w:tc>
        <w:tc>
          <w:tcPr>
            <w:tcW w:w="2338" w:type="dxa"/>
          </w:tcPr>
          <w:p w14:paraId="593F7B68" w14:textId="4D4AA615" w:rsidR="0054438A" w:rsidRDefault="002C5C9B" w:rsidP="00181817">
            <w:pPr>
              <w:contextualSpacing/>
              <w:rPr>
                <w:rFonts w:ascii="Mangal Pro" w:hAnsi="Mangal Pro" w:cs="Mangal Pro"/>
                <w:sz w:val="22"/>
                <w:szCs w:val="22"/>
              </w:rPr>
            </w:pPr>
            <w:hyperlink r:id="rId22" w:history="1">
              <w:r w:rsidRPr="00654304">
                <w:rPr>
                  <w:rStyle w:val="Hyperlink"/>
                  <w:rFonts w:ascii="Mangal Pro" w:hAnsi="Mangal Pro" w:cs="Mangal Pro"/>
                  <w:sz w:val="22"/>
                  <w:szCs w:val="22"/>
                </w:rPr>
                <w:t>pquach@sbccd.cc.ca.us</w:t>
              </w:r>
            </w:hyperlink>
          </w:p>
        </w:tc>
        <w:tc>
          <w:tcPr>
            <w:tcW w:w="2338" w:type="dxa"/>
          </w:tcPr>
          <w:p w14:paraId="736E23DD" w14:textId="7A3403CD" w:rsidR="0054438A" w:rsidRDefault="002C5C9B" w:rsidP="00181817">
            <w:pPr>
              <w:contextualSpacing/>
              <w:rPr>
                <w:rFonts w:ascii="Mangal Pro" w:hAnsi="Mangal Pro" w:cs="Mangal Pro"/>
                <w:sz w:val="22"/>
                <w:szCs w:val="22"/>
              </w:rPr>
            </w:pPr>
            <w:r>
              <w:rPr>
                <w:rFonts w:ascii="Mangal Pro" w:hAnsi="Mangal Pro" w:cs="Mangal Pro"/>
                <w:sz w:val="22"/>
                <w:szCs w:val="22"/>
              </w:rPr>
              <w:t>909-384-8996</w:t>
            </w:r>
          </w:p>
        </w:tc>
      </w:tr>
      <w:tr w:rsidR="002C5C9B" w14:paraId="031B8EC0" w14:textId="77777777" w:rsidTr="0054438A">
        <w:tc>
          <w:tcPr>
            <w:tcW w:w="2337" w:type="dxa"/>
          </w:tcPr>
          <w:p w14:paraId="5E0D9696" w14:textId="752F2ACD" w:rsidR="002C5C9B" w:rsidRDefault="002C5C9B" w:rsidP="00181817">
            <w:pPr>
              <w:contextualSpacing/>
              <w:rPr>
                <w:rFonts w:ascii="Mangal Pro" w:hAnsi="Mangal Pro" w:cs="Mangal Pro"/>
                <w:sz w:val="22"/>
                <w:szCs w:val="22"/>
              </w:rPr>
            </w:pPr>
            <w:r>
              <w:rPr>
                <w:rFonts w:ascii="Mangal Pro" w:hAnsi="Mangal Pro" w:cs="Mangal Pro"/>
                <w:sz w:val="22"/>
                <w:szCs w:val="22"/>
              </w:rPr>
              <w:t>Andrea Hecht</w:t>
            </w:r>
          </w:p>
        </w:tc>
        <w:tc>
          <w:tcPr>
            <w:tcW w:w="2337" w:type="dxa"/>
          </w:tcPr>
          <w:p w14:paraId="4A56EFB4" w14:textId="6A020B4C" w:rsidR="002C5C9B" w:rsidRDefault="002C5C9B" w:rsidP="00181817">
            <w:pPr>
              <w:contextualSpacing/>
              <w:rPr>
                <w:rFonts w:ascii="Mangal Pro" w:hAnsi="Mangal Pro" w:cs="Mangal Pro"/>
                <w:sz w:val="22"/>
                <w:szCs w:val="22"/>
              </w:rPr>
            </w:pPr>
            <w:r>
              <w:rPr>
                <w:rFonts w:ascii="Mangal Pro" w:hAnsi="Mangal Pro" w:cs="Mangal Pro"/>
                <w:sz w:val="22"/>
                <w:szCs w:val="22"/>
              </w:rPr>
              <w:t>Approver Academic Senate President</w:t>
            </w:r>
          </w:p>
        </w:tc>
        <w:tc>
          <w:tcPr>
            <w:tcW w:w="2338" w:type="dxa"/>
          </w:tcPr>
          <w:p w14:paraId="0436A5DC" w14:textId="403D7565" w:rsidR="002C5C9B" w:rsidRDefault="002C5C9B" w:rsidP="00181817">
            <w:pPr>
              <w:contextualSpacing/>
              <w:rPr>
                <w:rFonts w:ascii="Mangal Pro" w:hAnsi="Mangal Pro" w:cs="Mangal Pro"/>
                <w:sz w:val="22"/>
                <w:szCs w:val="22"/>
              </w:rPr>
            </w:pPr>
            <w:hyperlink r:id="rId23" w:history="1">
              <w:r w:rsidRPr="00654304">
                <w:rPr>
                  <w:rStyle w:val="Hyperlink"/>
                  <w:rFonts w:ascii="Mangal Pro" w:hAnsi="Mangal Pro" w:cs="Mangal Pro"/>
                  <w:sz w:val="22"/>
                  <w:szCs w:val="22"/>
                </w:rPr>
                <w:t>ahecht@sbccd.cc.ca.us</w:t>
              </w:r>
            </w:hyperlink>
          </w:p>
        </w:tc>
        <w:tc>
          <w:tcPr>
            <w:tcW w:w="2338" w:type="dxa"/>
          </w:tcPr>
          <w:p w14:paraId="3F8597C1" w14:textId="7C51CDB6" w:rsidR="002C5C9B" w:rsidRDefault="003E0597" w:rsidP="00181817">
            <w:pPr>
              <w:contextualSpacing/>
              <w:rPr>
                <w:rFonts w:ascii="Mangal Pro" w:hAnsi="Mangal Pro" w:cs="Mangal Pro"/>
                <w:sz w:val="22"/>
                <w:szCs w:val="22"/>
              </w:rPr>
            </w:pPr>
            <w:r>
              <w:rPr>
                <w:rFonts w:ascii="Mangal Pro" w:hAnsi="Mangal Pro" w:cs="Mangal Pro"/>
                <w:sz w:val="22"/>
                <w:szCs w:val="22"/>
              </w:rPr>
              <w:t>909-384-8974</w:t>
            </w:r>
          </w:p>
        </w:tc>
      </w:tr>
    </w:tbl>
    <w:p w14:paraId="5A976486" w14:textId="77777777" w:rsidR="00181817" w:rsidRPr="009800F1" w:rsidRDefault="00181817" w:rsidP="00181817">
      <w:pPr>
        <w:spacing w:line="240" w:lineRule="auto"/>
        <w:contextualSpacing/>
        <w:rPr>
          <w:rFonts w:ascii="Mangal Pro" w:hAnsi="Mangal Pro" w:cs="Mangal Pro"/>
          <w:sz w:val="22"/>
          <w:szCs w:val="22"/>
        </w:rPr>
      </w:pPr>
    </w:p>
    <w:p w14:paraId="2E931411" w14:textId="77777777" w:rsidR="00181817" w:rsidRPr="009800F1" w:rsidRDefault="00181817" w:rsidP="00181817">
      <w:pPr>
        <w:spacing w:line="240" w:lineRule="auto"/>
        <w:contextualSpacing/>
        <w:rPr>
          <w:rFonts w:ascii="Mangal Pro" w:hAnsi="Mangal Pro" w:cs="Mangal Pro"/>
          <w:sz w:val="22"/>
          <w:szCs w:val="22"/>
        </w:rPr>
      </w:pPr>
    </w:p>
    <w:p w14:paraId="3BA94D48" w14:textId="77777777" w:rsidR="00A055BE" w:rsidRDefault="00A055BE" w:rsidP="00181817">
      <w:pPr>
        <w:spacing w:line="240" w:lineRule="auto"/>
        <w:contextualSpacing/>
        <w:rPr>
          <w:rFonts w:ascii="Mangal Pro" w:hAnsi="Mangal Pro" w:cs="Mangal Pro"/>
          <w:b/>
          <w:bCs/>
          <w:sz w:val="22"/>
          <w:szCs w:val="22"/>
        </w:rPr>
      </w:pPr>
    </w:p>
    <w:p w14:paraId="3B40B126" w14:textId="77777777" w:rsidR="00A055BE" w:rsidRDefault="00A055BE" w:rsidP="00181817">
      <w:pPr>
        <w:spacing w:line="240" w:lineRule="auto"/>
        <w:contextualSpacing/>
        <w:rPr>
          <w:rFonts w:ascii="Mangal Pro" w:hAnsi="Mangal Pro" w:cs="Mangal Pro"/>
          <w:b/>
          <w:bCs/>
          <w:sz w:val="22"/>
          <w:szCs w:val="22"/>
        </w:rPr>
      </w:pPr>
    </w:p>
    <w:p w14:paraId="08A8A75E" w14:textId="77777777" w:rsidR="00A055BE" w:rsidRDefault="00A055BE" w:rsidP="00181817">
      <w:pPr>
        <w:spacing w:line="240" w:lineRule="auto"/>
        <w:contextualSpacing/>
        <w:rPr>
          <w:rFonts w:ascii="Mangal Pro" w:hAnsi="Mangal Pro" w:cs="Mangal Pro"/>
          <w:b/>
          <w:bCs/>
          <w:sz w:val="22"/>
          <w:szCs w:val="22"/>
        </w:rPr>
      </w:pPr>
    </w:p>
    <w:p w14:paraId="570448F1" w14:textId="77777777" w:rsidR="00A055BE" w:rsidRDefault="00A055BE" w:rsidP="00181817">
      <w:pPr>
        <w:spacing w:line="240" w:lineRule="auto"/>
        <w:contextualSpacing/>
        <w:rPr>
          <w:rFonts w:ascii="Mangal Pro" w:hAnsi="Mangal Pro" w:cs="Mangal Pro"/>
          <w:b/>
          <w:bCs/>
          <w:sz w:val="22"/>
          <w:szCs w:val="22"/>
        </w:rPr>
      </w:pPr>
    </w:p>
    <w:p w14:paraId="75C61D78" w14:textId="77777777" w:rsidR="00A055BE" w:rsidRDefault="00A055BE" w:rsidP="00181817">
      <w:pPr>
        <w:spacing w:line="240" w:lineRule="auto"/>
        <w:contextualSpacing/>
        <w:rPr>
          <w:rFonts w:ascii="Mangal Pro" w:hAnsi="Mangal Pro" w:cs="Mangal Pro"/>
          <w:b/>
          <w:bCs/>
          <w:sz w:val="22"/>
          <w:szCs w:val="22"/>
        </w:rPr>
      </w:pPr>
    </w:p>
    <w:p w14:paraId="6C4E472B" w14:textId="77777777" w:rsidR="00A055BE" w:rsidRDefault="00A055BE" w:rsidP="00181817">
      <w:pPr>
        <w:spacing w:line="240" w:lineRule="auto"/>
        <w:contextualSpacing/>
        <w:rPr>
          <w:rFonts w:ascii="Mangal Pro" w:hAnsi="Mangal Pro" w:cs="Mangal Pro"/>
          <w:b/>
          <w:bCs/>
          <w:sz w:val="22"/>
          <w:szCs w:val="22"/>
        </w:rPr>
      </w:pPr>
    </w:p>
    <w:p w14:paraId="1F92EB9C" w14:textId="77777777" w:rsidR="00A055BE" w:rsidRDefault="00A055BE" w:rsidP="00181817">
      <w:pPr>
        <w:spacing w:line="240" w:lineRule="auto"/>
        <w:contextualSpacing/>
        <w:rPr>
          <w:rFonts w:ascii="Mangal Pro" w:hAnsi="Mangal Pro" w:cs="Mangal Pro"/>
          <w:b/>
          <w:bCs/>
          <w:sz w:val="22"/>
          <w:szCs w:val="22"/>
        </w:rPr>
      </w:pPr>
    </w:p>
    <w:p w14:paraId="0F20D266" w14:textId="120D340F" w:rsidR="00537D64" w:rsidRPr="00A055BE" w:rsidRDefault="001A490D" w:rsidP="00181817">
      <w:pPr>
        <w:spacing w:line="240" w:lineRule="auto"/>
        <w:contextualSpacing/>
        <w:rPr>
          <w:rFonts w:ascii="Mangal Pro" w:hAnsi="Mangal Pro" w:cs="Mangal Pro"/>
          <w:b/>
          <w:bCs/>
          <w:sz w:val="36"/>
          <w:szCs w:val="36"/>
        </w:rPr>
      </w:pPr>
      <w:r w:rsidRPr="00A055BE">
        <w:rPr>
          <w:rFonts w:ascii="Mangal Pro" w:hAnsi="Mangal Pro" w:cs="Mangal Pro"/>
          <w:b/>
          <w:bCs/>
          <w:sz w:val="36"/>
          <w:szCs w:val="36"/>
        </w:rPr>
        <w:lastRenderedPageBreak/>
        <w:t>Section 3: STUDENT EQUITY REFLECTION</w:t>
      </w:r>
    </w:p>
    <w:p w14:paraId="4C040A72" w14:textId="77777777" w:rsidR="001A490D" w:rsidRPr="009800F1" w:rsidRDefault="001A490D" w:rsidP="00181817">
      <w:pPr>
        <w:spacing w:line="240" w:lineRule="auto"/>
        <w:contextualSpacing/>
        <w:rPr>
          <w:rFonts w:ascii="Mangal Pro" w:hAnsi="Mangal Pro" w:cs="Mangal Pro"/>
          <w:b/>
          <w:bCs/>
          <w:sz w:val="22"/>
          <w:szCs w:val="22"/>
        </w:rPr>
      </w:pPr>
    </w:p>
    <w:p w14:paraId="5F9B54F8" w14:textId="1EDBE712" w:rsidR="006F1AE4" w:rsidRPr="009800F1" w:rsidRDefault="006F1AE4" w:rsidP="00181817">
      <w:pPr>
        <w:spacing w:line="240" w:lineRule="auto"/>
        <w:contextualSpacing/>
        <w:rPr>
          <w:rFonts w:ascii="Mangal Pro" w:hAnsi="Mangal Pro" w:cs="Mangal Pro"/>
          <w:sz w:val="22"/>
          <w:szCs w:val="22"/>
        </w:rPr>
      </w:pPr>
      <w:r w:rsidRPr="009800F1">
        <w:rPr>
          <w:rFonts w:ascii="Mangal Pro" w:hAnsi="Mangal Pro" w:cs="Mangal Pro"/>
          <w:sz w:val="22"/>
          <w:szCs w:val="22"/>
        </w:rPr>
        <w:t xml:space="preserve">Through analysis of the 2022–2025 Student Equity Plan, SBVC has identified multiple systemic and structural factors contributing to persistent equity gaps among disproportionately impacted (DI) student populations across the five key metrics: </w:t>
      </w:r>
      <w:r w:rsidR="00537D64" w:rsidRPr="009800F1">
        <w:rPr>
          <w:rFonts w:ascii="Mangal Pro" w:hAnsi="Mangal Pro" w:cs="Mangal Pro"/>
          <w:sz w:val="22"/>
          <w:szCs w:val="22"/>
        </w:rPr>
        <w:t>Enrollment, Transfer English and math completion, term to term</w:t>
      </w:r>
      <w:r w:rsidR="008A02B4" w:rsidRPr="009800F1">
        <w:rPr>
          <w:rFonts w:ascii="Mangal Pro" w:hAnsi="Mangal Pro" w:cs="Mangal Pro"/>
          <w:sz w:val="22"/>
          <w:szCs w:val="22"/>
        </w:rPr>
        <w:t xml:space="preserve"> persistence, completion and transfer to </w:t>
      </w:r>
      <w:r w:rsidR="00326D1C">
        <w:rPr>
          <w:rFonts w:ascii="Mangal Pro" w:hAnsi="Mangal Pro" w:cs="Mangal Pro"/>
          <w:sz w:val="22"/>
          <w:szCs w:val="22"/>
        </w:rPr>
        <w:t xml:space="preserve">a </w:t>
      </w:r>
      <w:r w:rsidR="00D92E83" w:rsidRPr="009800F1">
        <w:rPr>
          <w:rFonts w:ascii="Mangal Pro" w:hAnsi="Mangal Pro" w:cs="Mangal Pro"/>
          <w:sz w:val="22"/>
          <w:szCs w:val="22"/>
        </w:rPr>
        <w:t>4-year</w:t>
      </w:r>
      <w:r w:rsidR="008A02B4" w:rsidRPr="009800F1">
        <w:rPr>
          <w:rFonts w:ascii="Mangal Pro" w:hAnsi="Mangal Pro" w:cs="Mangal Pro"/>
          <w:sz w:val="22"/>
          <w:szCs w:val="22"/>
        </w:rPr>
        <w:t xml:space="preserve"> university. Ke</w:t>
      </w:r>
      <w:r w:rsidRPr="009800F1">
        <w:rPr>
          <w:rFonts w:ascii="Mangal Pro" w:hAnsi="Mangal Pro" w:cs="Mangal Pro"/>
          <w:sz w:val="22"/>
          <w:szCs w:val="22"/>
        </w:rPr>
        <w:t>y root causes include</w:t>
      </w:r>
      <w:r w:rsidR="008A02B4" w:rsidRPr="009800F1">
        <w:rPr>
          <w:rFonts w:ascii="Mangal Pro" w:hAnsi="Mangal Pro" w:cs="Mangal Pro"/>
          <w:sz w:val="22"/>
          <w:szCs w:val="22"/>
        </w:rPr>
        <w:t>, but not limited to:</w:t>
      </w:r>
    </w:p>
    <w:p w14:paraId="65178A8E" w14:textId="77777777" w:rsidR="006F1AE4" w:rsidRPr="009800F1" w:rsidRDefault="006F1AE4" w:rsidP="00181817">
      <w:pPr>
        <w:numPr>
          <w:ilvl w:val="0"/>
          <w:numId w:val="3"/>
        </w:numPr>
        <w:spacing w:line="240" w:lineRule="auto"/>
        <w:contextualSpacing/>
        <w:rPr>
          <w:rFonts w:ascii="Mangal Pro" w:hAnsi="Mangal Pro" w:cs="Mangal Pro"/>
          <w:sz w:val="22"/>
          <w:szCs w:val="22"/>
        </w:rPr>
      </w:pPr>
      <w:r w:rsidRPr="009800F1">
        <w:rPr>
          <w:rFonts w:ascii="Mangal Pro" w:hAnsi="Mangal Pro" w:cs="Mangal Pro"/>
          <w:sz w:val="22"/>
          <w:szCs w:val="22"/>
        </w:rPr>
        <w:t>Structural Barriers to Access and Engagement: DI students often encounter challenges such as limited financial resources, lack of awareness of support programs, and insufficient advising, which delay enrollment, course completion, and transfer readiness.</w:t>
      </w:r>
    </w:p>
    <w:p w14:paraId="532B48F8" w14:textId="4F019D1F" w:rsidR="006F1AE4" w:rsidRPr="009800F1" w:rsidRDefault="006F1AE4" w:rsidP="00181817">
      <w:pPr>
        <w:numPr>
          <w:ilvl w:val="0"/>
          <w:numId w:val="3"/>
        </w:numPr>
        <w:spacing w:line="240" w:lineRule="auto"/>
        <w:contextualSpacing/>
        <w:rPr>
          <w:rFonts w:ascii="Mangal Pro" w:hAnsi="Mangal Pro" w:cs="Mangal Pro"/>
          <w:sz w:val="22"/>
          <w:szCs w:val="22"/>
        </w:rPr>
      </w:pPr>
      <w:r w:rsidRPr="009800F1">
        <w:rPr>
          <w:rFonts w:ascii="Mangal Pro" w:hAnsi="Mangal Pro" w:cs="Mangal Pro"/>
          <w:sz w:val="22"/>
          <w:szCs w:val="22"/>
        </w:rPr>
        <w:t xml:space="preserve">Institutional and Cultural Factors: Students from racially minoritized groups, first-generation learners, and students with disabilities reported feelings of isolation, </w:t>
      </w:r>
      <w:r w:rsidR="008A02B4" w:rsidRPr="009800F1">
        <w:rPr>
          <w:rFonts w:ascii="Mangal Pro" w:hAnsi="Mangal Pro" w:cs="Mangal Pro"/>
          <w:sz w:val="22"/>
          <w:szCs w:val="22"/>
        </w:rPr>
        <w:t xml:space="preserve">no sense of </w:t>
      </w:r>
      <w:r w:rsidRPr="009800F1">
        <w:rPr>
          <w:rFonts w:ascii="Mangal Pro" w:hAnsi="Mangal Pro" w:cs="Mangal Pro"/>
          <w:sz w:val="22"/>
          <w:szCs w:val="22"/>
        </w:rPr>
        <w:t>belonging, and limited culturally relevant support within classrooms and student services. Implicit bias in advising, instruction, and assessment practices contributed to uneven outcomes.</w:t>
      </w:r>
    </w:p>
    <w:p w14:paraId="3E9B34B3" w14:textId="691F14D3" w:rsidR="006F1AE4" w:rsidRPr="009800F1" w:rsidRDefault="006F1AE4" w:rsidP="00181817">
      <w:pPr>
        <w:numPr>
          <w:ilvl w:val="0"/>
          <w:numId w:val="3"/>
        </w:numPr>
        <w:spacing w:line="240" w:lineRule="auto"/>
        <w:contextualSpacing/>
        <w:rPr>
          <w:rFonts w:ascii="Mangal Pro" w:hAnsi="Mangal Pro" w:cs="Mangal Pro"/>
          <w:sz w:val="22"/>
          <w:szCs w:val="22"/>
        </w:rPr>
      </w:pPr>
      <w:r w:rsidRPr="009800F1">
        <w:rPr>
          <w:rFonts w:ascii="Mangal Pro" w:hAnsi="Mangal Pro" w:cs="Mangal Pro"/>
          <w:sz w:val="22"/>
          <w:szCs w:val="22"/>
        </w:rPr>
        <w:t>Gaps in Data</w:t>
      </w:r>
      <w:r w:rsidR="008A02B4" w:rsidRPr="009800F1">
        <w:rPr>
          <w:rFonts w:ascii="Mangal Pro" w:hAnsi="Mangal Pro" w:cs="Mangal Pro"/>
          <w:sz w:val="22"/>
          <w:szCs w:val="22"/>
        </w:rPr>
        <w:t xml:space="preserve"> </w:t>
      </w:r>
      <w:r w:rsidRPr="009800F1">
        <w:rPr>
          <w:rFonts w:ascii="Mangal Pro" w:hAnsi="Mangal Pro" w:cs="Mangal Pro"/>
          <w:sz w:val="22"/>
          <w:szCs w:val="22"/>
        </w:rPr>
        <w:t>Informed and Targeted Interventions: Prior to the 2022–2025 plan, interventions were sometimes implemented broadly without disaggregating outcomes by race, ethnicity, or other DI identifiers, limiting the effectiveness of strategies to close specific equity gaps.</w:t>
      </w:r>
    </w:p>
    <w:p w14:paraId="635BD129" w14:textId="77777777" w:rsidR="00537D64" w:rsidRPr="009800F1" w:rsidRDefault="00537D64" w:rsidP="00537D64">
      <w:pPr>
        <w:spacing w:line="240" w:lineRule="auto"/>
        <w:ind w:left="720"/>
        <w:contextualSpacing/>
        <w:rPr>
          <w:rFonts w:ascii="Mangal Pro" w:hAnsi="Mangal Pro" w:cs="Mangal Pro"/>
          <w:sz w:val="22"/>
          <w:szCs w:val="22"/>
        </w:rPr>
      </w:pPr>
    </w:p>
    <w:p w14:paraId="6341925D" w14:textId="11CC96D2" w:rsidR="006F1AE4" w:rsidRPr="009800F1" w:rsidRDefault="006F1AE4" w:rsidP="00181817">
      <w:pPr>
        <w:spacing w:line="240" w:lineRule="auto"/>
        <w:contextualSpacing/>
        <w:rPr>
          <w:rFonts w:ascii="Mangal Pro" w:hAnsi="Mangal Pro" w:cs="Mangal Pro"/>
          <w:sz w:val="22"/>
          <w:szCs w:val="22"/>
        </w:rPr>
      </w:pPr>
      <w:r w:rsidRPr="009800F1">
        <w:rPr>
          <w:rFonts w:ascii="Mangal Pro" w:hAnsi="Mangal Pro" w:cs="Mangal Pro"/>
          <w:sz w:val="22"/>
          <w:szCs w:val="22"/>
        </w:rPr>
        <w:t>SBVC has taken intentional steps to embed equity as a guiding principle in both practice and culture. Notable approaches include:</w:t>
      </w:r>
    </w:p>
    <w:p w14:paraId="6598E3BB" w14:textId="55E9837B" w:rsidR="006F1AE4" w:rsidRPr="009800F1" w:rsidRDefault="006F1AE4" w:rsidP="00181817">
      <w:pPr>
        <w:numPr>
          <w:ilvl w:val="0"/>
          <w:numId w:val="4"/>
        </w:numPr>
        <w:spacing w:line="240" w:lineRule="auto"/>
        <w:contextualSpacing/>
        <w:rPr>
          <w:rFonts w:ascii="Mangal Pro" w:hAnsi="Mangal Pro" w:cs="Mangal Pro"/>
          <w:sz w:val="22"/>
          <w:szCs w:val="22"/>
        </w:rPr>
      </w:pPr>
      <w:r w:rsidRPr="009800F1">
        <w:rPr>
          <w:rFonts w:ascii="Mangal Pro" w:hAnsi="Mangal Pro" w:cs="Mangal Pro"/>
          <w:sz w:val="22"/>
          <w:szCs w:val="22"/>
        </w:rPr>
        <w:t>Equity</w:t>
      </w:r>
      <w:r w:rsidR="008A02B4" w:rsidRPr="009800F1">
        <w:rPr>
          <w:rFonts w:ascii="Mangal Pro" w:hAnsi="Mangal Pro" w:cs="Mangal Pro"/>
          <w:sz w:val="22"/>
          <w:szCs w:val="22"/>
        </w:rPr>
        <w:t xml:space="preserve"> </w:t>
      </w:r>
      <w:r w:rsidRPr="009800F1">
        <w:rPr>
          <w:rFonts w:ascii="Mangal Pro" w:hAnsi="Mangal Pro" w:cs="Mangal Pro"/>
          <w:sz w:val="22"/>
          <w:szCs w:val="22"/>
        </w:rPr>
        <w:t>Minded Decision Making: The college has strengthened the integration of equity considerations into all institutional planning processes, including program review, budget allocation, and curriculum design. Data disaggregation by DI populations ensures that strategies are tailored to the unique needs of each student group.</w:t>
      </w:r>
    </w:p>
    <w:p w14:paraId="356576FE" w14:textId="77777777" w:rsidR="006F1AE4" w:rsidRPr="009800F1" w:rsidRDefault="006F1AE4" w:rsidP="00181817">
      <w:pPr>
        <w:numPr>
          <w:ilvl w:val="0"/>
          <w:numId w:val="4"/>
        </w:numPr>
        <w:spacing w:line="240" w:lineRule="auto"/>
        <w:contextualSpacing/>
        <w:rPr>
          <w:rFonts w:ascii="Mangal Pro" w:hAnsi="Mangal Pro" w:cs="Mangal Pro"/>
          <w:sz w:val="22"/>
          <w:szCs w:val="22"/>
        </w:rPr>
      </w:pPr>
      <w:r w:rsidRPr="009800F1">
        <w:rPr>
          <w:rFonts w:ascii="Mangal Pro" w:hAnsi="Mangal Pro" w:cs="Mangal Pro"/>
          <w:sz w:val="22"/>
          <w:szCs w:val="22"/>
        </w:rPr>
        <w:t xml:space="preserve">Cross-Functional Committees and Shared Governance: The Student Success Advisory Committee, combining Student Equity, Guided Pathways, and Student Support Services, fosters collaboration between faculty, classified staff, </w:t>
      </w:r>
      <w:r w:rsidRPr="009800F1">
        <w:rPr>
          <w:rFonts w:ascii="Mangal Pro" w:hAnsi="Mangal Pro" w:cs="Mangal Pro"/>
          <w:sz w:val="22"/>
          <w:szCs w:val="22"/>
        </w:rPr>
        <w:lastRenderedPageBreak/>
        <w:t>administrators, and students to ensure that equity initiatives are informed by diverse perspectives and aligned with institutional priorities.</w:t>
      </w:r>
    </w:p>
    <w:p w14:paraId="0BCB7EA3" w14:textId="77777777" w:rsidR="00326D1C" w:rsidRDefault="006F1AE4" w:rsidP="00326D1C">
      <w:pPr>
        <w:numPr>
          <w:ilvl w:val="0"/>
          <w:numId w:val="4"/>
        </w:numPr>
        <w:spacing w:line="240" w:lineRule="auto"/>
        <w:contextualSpacing/>
        <w:rPr>
          <w:rFonts w:ascii="Mangal Pro" w:hAnsi="Mangal Pro" w:cs="Mangal Pro"/>
          <w:sz w:val="22"/>
          <w:szCs w:val="22"/>
        </w:rPr>
      </w:pPr>
      <w:r w:rsidRPr="009800F1">
        <w:rPr>
          <w:rFonts w:ascii="Mangal Pro" w:hAnsi="Mangal Pro" w:cs="Mangal Pro"/>
          <w:sz w:val="22"/>
          <w:szCs w:val="22"/>
        </w:rPr>
        <w:t>Professional Learning and Equity</w:t>
      </w:r>
      <w:r w:rsidR="008A02B4" w:rsidRPr="009800F1">
        <w:rPr>
          <w:rFonts w:ascii="Mangal Pro" w:hAnsi="Mangal Pro" w:cs="Mangal Pro"/>
          <w:sz w:val="22"/>
          <w:szCs w:val="22"/>
        </w:rPr>
        <w:t xml:space="preserve"> </w:t>
      </w:r>
      <w:r w:rsidRPr="009800F1">
        <w:rPr>
          <w:rFonts w:ascii="Mangal Pro" w:hAnsi="Mangal Pro" w:cs="Mangal Pro"/>
          <w:sz w:val="22"/>
          <w:szCs w:val="22"/>
        </w:rPr>
        <w:t>Focused Training: SBVC provides ongoing professional development around anti-racism, implicit bias, culturally sustaining pedagogy, and equity-minded teaching practices. These efforts have cultivated a campus-wide awareness of structural inequities and strengthened a shared commitment to student success.</w:t>
      </w:r>
    </w:p>
    <w:p w14:paraId="5EA129BB" w14:textId="77777777" w:rsidR="00326D1C" w:rsidRDefault="006F1AE4" w:rsidP="00326D1C">
      <w:pPr>
        <w:numPr>
          <w:ilvl w:val="0"/>
          <w:numId w:val="4"/>
        </w:numPr>
        <w:spacing w:line="240" w:lineRule="auto"/>
        <w:contextualSpacing/>
        <w:rPr>
          <w:rFonts w:ascii="Mangal Pro" w:hAnsi="Mangal Pro" w:cs="Mangal Pro"/>
          <w:sz w:val="22"/>
          <w:szCs w:val="22"/>
        </w:rPr>
      </w:pPr>
      <w:r w:rsidRPr="00326D1C">
        <w:rPr>
          <w:rFonts w:ascii="Mangal Pro" w:hAnsi="Mangal Pro" w:cs="Mangal Pro"/>
          <w:sz w:val="22"/>
          <w:szCs w:val="22"/>
        </w:rPr>
        <w:t>Targeted Student Support Programs: Programs such as Umoja-Tumaini, Puente, and the Dreamers Resource Center have provided culturally relevant mentoring, counseling, and academic support that directly address barriers to persistence and completion for DI students. Early data shows these initiatives are improving retention and course completion rates.</w:t>
      </w:r>
    </w:p>
    <w:p w14:paraId="6A2984E2" w14:textId="77777777" w:rsidR="005976FF" w:rsidRDefault="006F1AE4" w:rsidP="00326D1C">
      <w:pPr>
        <w:numPr>
          <w:ilvl w:val="0"/>
          <w:numId w:val="4"/>
        </w:numPr>
        <w:spacing w:line="240" w:lineRule="auto"/>
        <w:contextualSpacing/>
        <w:rPr>
          <w:rFonts w:ascii="Mangal Pro" w:hAnsi="Mangal Pro" w:cs="Mangal Pro"/>
          <w:sz w:val="22"/>
          <w:szCs w:val="22"/>
        </w:rPr>
      </w:pPr>
      <w:r w:rsidRPr="00326D1C">
        <w:rPr>
          <w:rFonts w:ascii="Mangal Pro" w:hAnsi="Mangal Pro" w:cs="Mangal Pro"/>
          <w:sz w:val="22"/>
          <w:szCs w:val="22"/>
        </w:rPr>
        <w:t>Equity</w:t>
      </w:r>
      <w:r w:rsidR="008A02B4" w:rsidRPr="00326D1C">
        <w:rPr>
          <w:rFonts w:ascii="Mangal Pro" w:hAnsi="Mangal Pro" w:cs="Mangal Pro"/>
          <w:sz w:val="22"/>
          <w:szCs w:val="22"/>
        </w:rPr>
        <w:t xml:space="preserve"> </w:t>
      </w:r>
      <w:r w:rsidRPr="00326D1C">
        <w:rPr>
          <w:rFonts w:ascii="Mangal Pro" w:hAnsi="Mangal Pro" w:cs="Mangal Pro"/>
          <w:sz w:val="22"/>
          <w:szCs w:val="22"/>
        </w:rPr>
        <w:t>Infused Guided Pathways Implementation: SBVC’s integration of equity strategies into Guided Pathways—through comprehensive onboarding, proactive advising, and streamlined course sequences</w:t>
      </w:r>
      <w:r w:rsidR="008A02B4" w:rsidRPr="00326D1C">
        <w:rPr>
          <w:rFonts w:ascii="Mangal Pro" w:hAnsi="Mangal Pro" w:cs="Mangal Pro"/>
          <w:sz w:val="22"/>
          <w:szCs w:val="22"/>
        </w:rPr>
        <w:t xml:space="preserve"> </w:t>
      </w:r>
      <w:r w:rsidRPr="00326D1C">
        <w:rPr>
          <w:rFonts w:ascii="Mangal Pro" w:hAnsi="Mangal Pro" w:cs="Mangal Pro"/>
          <w:sz w:val="22"/>
          <w:szCs w:val="22"/>
        </w:rPr>
        <w:t>has reduced confusion and course bottlenecks, particularly for first-generation and racially minoritized students</w:t>
      </w:r>
      <w:r w:rsidR="005976FF">
        <w:rPr>
          <w:rFonts w:ascii="Mangal Pro" w:hAnsi="Mangal Pro" w:cs="Mangal Pro"/>
          <w:sz w:val="22"/>
          <w:szCs w:val="22"/>
        </w:rPr>
        <w:t>.</w:t>
      </w:r>
    </w:p>
    <w:p w14:paraId="3B59C3F0" w14:textId="276BB5C8" w:rsidR="008A02B4" w:rsidRPr="00326D1C" w:rsidRDefault="006F1AE4" w:rsidP="00326D1C">
      <w:pPr>
        <w:numPr>
          <w:ilvl w:val="0"/>
          <w:numId w:val="4"/>
        </w:numPr>
        <w:spacing w:line="240" w:lineRule="auto"/>
        <w:contextualSpacing/>
        <w:rPr>
          <w:rFonts w:ascii="Mangal Pro" w:hAnsi="Mangal Pro" w:cs="Mangal Pro"/>
          <w:sz w:val="22"/>
          <w:szCs w:val="22"/>
        </w:rPr>
      </w:pPr>
      <w:r w:rsidRPr="00326D1C">
        <w:rPr>
          <w:rFonts w:ascii="Mangal Pro" w:hAnsi="Mangal Pro" w:cs="Mangal Pro"/>
          <w:sz w:val="22"/>
          <w:szCs w:val="22"/>
        </w:rPr>
        <w:t xml:space="preserve">Data-Driven Continuous Improvement Processes: By routinely reviewing disaggregated outcomes data and soliciting student feedback, SBVC has been able to adjust interventions mid-cycle, scale successful practices, and ensure accountability. </w:t>
      </w:r>
    </w:p>
    <w:p w14:paraId="2E5BDA95" w14:textId="77777777" w:rsidR="006F1AE4" w:rsidRPr="009800F1" w:rsidRDefault="006F1AE4" w:rsidP="00A41ADB">
      <w:pPr>
        <w:numPr>
          <w:ilvl w:val="0"/>
          <w:numId w:val="5"/>
        </w:numPr>
        <w:spacing w:line="240" w:lineRule="auto"/>
        <w:contextualSpacing/>
        <w:rPr>
          <w:rFonts w:ascii="Mangal Pro" w:hAnsi="Mangal Pro" w:cs="Mangal Pro"/>
          <w:sz w:val="22"/>
          <w:szCs w:val="22"/>
        </w:rPr>
      </w:pPr>
      <w:r w:rsidRPr="009800F1">
        <w:rPr>
          <w:rFonts w:ascii="Mangal Pro" w:hAnsi="Mangal Pro" w:cs="Mangal Pro"/>
          <w:sz w:val="22"/>
          <w:szCs w:val="22"/>
        </w:rPr>
        <w:t>A stronger student-centered culture has emerged, emphasizing belonging, engagement, and co-creation of solutions with students.</w:t>
      </w:r>
    </w:p>
    <w:p w14:paraId="14DD6404" w14:textId="138B38DB" w:rsidR="006F1AE4" w:rsidRPr="009800F1" w:rsidRDefault="006F1AE4" w:rsidP="00A41ADB">
      <w:pPr>
        <w:numPr>
          <w:ilvl w:val="0"/>
          <w:numId w:val="5"/>
        </w:numPr>
        <w:spacing w:line="240" w:lineRule="auto"/>
        <w:contextualSpacing/>
        <w:rPr>
          <w:rFonts w:ascii="Mangal Pro" w:hAnsi="Mangal Pro" w:cs="Mangal Pro"/>
          <w:sz w:val="22"/>
          <w:szCs w:val="22"/>
        </w:rPr>
      </w:pPr>
      <w:r w:rsidRPr="009800F1">
        <w:rPr>
          <w:rFonts w:ascii="Mangal Pro" w:hAnsi="Mangal Pro" w:cs="Mangal Pro"/>
          <w:sz w:val="22"/>
          <w:szCs w:val="22"/>
        </w:rPr>
        <w:t xml:space="preserve">Staff and faculty increasingly embrace equity-minded language and practices, moving away from </w:t>
      </w:r>
      <w:r w:rsidR="000A2AC4">
        <w:rPr>
          <w:rFonts w:ascii="Mangal Pro" w:hAnsi="Mangal Pro" w:cs="Mangal Pro"/>
          <w:sz w:val="22"/>
          <w:szCs w:val="22"/>
        </w:rPr>
        <w:t>deficit-focused</w:t>
      </w:r>
      <w:r w:rsidRPr="009800F1">
        <w:rPr>
          <w:rFonts w:ascii="Mangal Pro" w:hAnsi="Mangal Pro" w:cs="Mangal Pro"/>
          <w:sz w:val="22"/>
          <w:szCs w:val="22"/>
        </w:rPr>
        <w:t xml:space="preserve"> narratives toward strength-based approaches.</w:t>
      </w:r>
    </w:p>
    <w:p w14:paraId="0C52B7C9" w14:textId="77777777" w:rsidR="006F1AE4" w:rsidRPr="009800F1" w:rsidRDefault="006F1AE4" w:rsidP="00A41ADB">
      <w:pPr>
        <w:numPr>
          <w:ilvl w:val="0"/>
          <w:numId w:val="5"/>
        </w:numPr>
        <w:spacing w:line="240" w:lineRule="auto"/>
        <w:contextualSpacing/>
        <w:rPr>
          <w:rFonts w:ascii="Mangal Pro" w:hAnsi="Mangal Pro" w:cs="Mangal Pro"/>
          <w:sz w:val="22"/>
          <w:szCs w:val="22"/>
        </w:rPr>
      </w:pPr>
      <w:r w:rsidRPr="009800F1">
        <w:rPr>
          <w:rFonts w:ascii="Mangal Pro" w:hAnsi="Mangal Pro" w:cs="Mangal Pro"/>
          <w:sz w:val="22"/>
          <w:szCs w:val="22"/>
        </w:rPr>
        <w:t>Shared governance and transparent data sharing have reinforced a culture of collective responsibility, where all campus constituents are accountable for advancing equity goals.</w:t>
      </w:r>
    </w:p>
    <w:p w14:paraId="6EAC2989" w14:textId="77777777" w:rsidR="008A02B4" w:rsidRPr="009800F1" w:rsidRDefault="008A02B4" w:rsidP="008A02B4">
      <w:pPr>
        <w:spacing w:line="240" w:lineRule="auto"/>
        <w:ind w:left="720"/>
        <w:contextualSpacing/>
        <w:rPr>
          <w:rFonts w:ascii="Mangal Pro" w:hAnsi="Mangal Pro" w:cs="Mangal Pro"/>
          <w:sz w:val="22"/>
          <w:szCs w:val="22"/>
        </w:rPr>
      </w:pPr>
    </w:p>
    <w:p w14:paraId="5C6154B0" w14:textId="77777777" w:rsidR="006F1AE4" w:rsidRPr="009800F1" w:rsidRDefault="006F1AE4" w:rsidP="00181817">
      <w:pPr>
        <w:spacing w:line="240" w:lineRule="auto"/>
        <w:contextualSpacing/>
        <w:rPr>
          <w:rFonts w:ascii="Mangal Pro" w:hAnsi="Mangal Pro" w:cs="Mangal Pro"/>
          <w:sz w:val="22"/>
          <w:szCs w:val="22"/>
        </w:rPr>
      </w:pPr>
      <w:r w:rsidRPr="009800F1">
        <w:rPr>
          <w:rFonts w:ascii="Mangal Pro" w:hAnsi="Mangal Pro" w:cs="Mangal Pro"/>
          <w:sz w:val="22"/>
          <w:szCs w:val="22"/>
        </w:rPr>
        <w:t>Through these institutional actions, cultural changes, and processes, SBVC has made measurable progress in reducing equity gaps and improving outcomes for disproportionately impacted students, laying a strong foundation for the 2025–2028 Student Equity Plan.</w:t>
      </w:r>
    </w:p>
    <w:p w14:paraId="05CD2A5D" w14:textId="77777777" w:rsidR="008A02B4" w:rsidRPr="009800F1" w:rsidRDefault="008A02B4" w:rsidP="00181817">
      <w:pPr>
        <w:spacing w:line="240" w:lineRule="auto"/>
        <w:contextualSpacing/>
        <w:rPr>
          <w:rFonts w:ascii="Mangal Pro" w:hAnsi="Mangal Pro" w:cs="Mangal Pro"/>
          <w:sz w:val="22"/>
          <w:szCs w:val="22"/>
        </w:rPr>
      </w:pPr>
    </w:p>
    <w:p w14:paraId="7BB6D727" w14:textId="77777777" w:rsidR="006F1AE4" w:rsidRPr="009800F1" w:rsidRDefault="006F1AE4" w:rsidP="00181817">
      <w:pPr>
        <w:spacing w:line="240" w:lineRule="auto"/>
        <w:contextualSpacing/>
        <w:rPr>
          <w:rFonts w:ascii="Mangal Pro" w:hAnsi="Mangal Pro" w:cs="Mangal Pro"/>
          <w:sz w:val="22"/>
          <w:szCs w:val="22"/>
        </w:rPr>
      </w:pPr>
      <w:r w:rsidRPr="009800F1">
        <w:rPr>
          <w:rFonts w:ascii="Mangal Pro" w:hAnsi="Mangal Pro" w:cs="Mangal Pro"/>
          <w:sz w:val="22"/>
          <w:szCs w:val="22"/>
        </w:rPr>
        <w:lastRenderedPageBreak/>
        <w:t>Based on the analysis of the 2022–2025 Student Equity Plan, SBVC has identified several strategies, cultural practices, and institutional processes that are working effectively and will be continued and expanded in the 2025–2028 plan. These discoveries provide continuity between plans and guide the development, implementation, and assessment of equity initiatives:</w:t>
      </w:r>
    </w:p>
    <w:p w14:paraId="45F40DC2" w14:textId="2385E27C" w:rsidR="006F1AE4" w:rsidRPr="00671853" w:rsidRDefault="006F1AE4" w:rsidP="00A41ADB">
      <w:pPr>
        <w:pStyle w:val="ListParagraph"/>
        <w:numPr>
          <w:ilvl w:val="0"/>
          <w:numId w:val="44"/>
        </w:numPr>
        <w:spacing w:line="240" w:lineRule="auto"/>
        <w:rPr>
          <w:rFonts w:ascii="Mangal Pro" w:hAnsi="Mangal Pro" w:cs="Mangal Pro"/>
          <w:sz w:val="22"/>
          <w:szCs w:val="22"/>
        </w:rPr>
      </w:pPr>
      <w:r w:rsidRPr="00671853">
        <w:rPr>
          <w:rFonts w:ascii="Mangal Pro" w:hAnsi="Mangal Pro" w:cs="Mangal Pro"/>
          <w:sz w:val="22"/>
          <w:szCs w:val="22"/>
        </w:rPr>
        <w:t xml:space="preserve">Programs such as Umoja-Tumaini, Puente, </w:t>
      </w:r>
      <w:r w:rsidR="005078B1">
        <w:rPr>
          <w:rFonts w:ascii="Mangal Pro" w:hAnsi="Mangal Pro" w:cs="Mangal Pro"/>
          <w:sz w:val="22"/>
          <w:szCs w:val="22"/>
        </w:rPr>
        <w:t xml:space="preserve">Tatayan, </w:t>
      </w:r>
      <w:r w:rsidRPr="00671853">
        <w:rPr>
          <w:rFonts w:ascii="Mangal Pro" w:hAnsi="Mangal Pro" w:cs="Mangal Pro"/>
          <w:sz w:val="22"/>
          <w:szCs w:val="22"/>
        </w:rPr>
        <w:t>and the Dreamers Resource Center have demonstrated measurable success in improving retention, course completion, and overall engagement for disproportionately impacted (DI) students. SBVC has learned that providing mentoring, culturally affirming programming, and proactive academic guidance directly addresses barriers faced by racially minoritized students and first-generation learners. These programs will remain central to the 2025–2028 plan, with expanded outreach and integration across additional student populations and instructional areas.</w:t>
      </w:r>
    </w:p>
    <w:p w14:paraId="6C7EB106" w14:textId="77777777" w:rsidR="008A02B4" w:rsidRPr="009800F1" w:rsidRDefault="008A02B4" w:rsidP="00181817">
      <w:pPr>
        <w:spacing w:line="240" w:lineRule="auto"/>
        <w:contextualSpacing/>
        <w:rPr>
          <w:rFonts w:ascii="Mangal Pro" w:hAnsi="Mangal Pro" w:cs="Mangal Pro"/>
          <w:sz w:val="22"/>
          <w:szCs w:val="22"/>
        </w:rPr>
      </w:pPr>
    </w:p>
    <w:p w14:paraId="7F39CA1A" w14:textId="77777777" w:rsidR="006F1AE4" w:rsidRPr="00671853" w:rsidRDefault="006F1AE4" w:rsidP="00A41ADB">
      <w:pPr>
        <w:pStyle w:val="ListParagraph"/>
        <w:numPr>
          <w:ilvl w:val="0"/>
          <w:numId w:val="44"/>
        </w:numPr>
        <w:spacing w:line="240" w:lineRule="auto"/>
        <w:rPr>
          <w:rFonts w:ascii="Mangal Pro" w:hAnsi="Mangal Pro" w:cs="Mangal Pro"/>
          <w:sz w:val="22"/>
          <w:szCs w:val="22"/>
        </w:rPr>
      </w:pPr>
      <w:r w:rsidRPr="00671853">
        <w:rPr>
          <w:rFonts w:ascii="Mangal Pro" w:hAnsi="Mangal Pro" w:cs="Mangal Pro"/>
          <w:sz w:val="22"/>
          <w:szCs w:val="22"/>
        </w:rPr>
        <w:t>The integration of equity strategies into Guided Pathways, including streamlined course sequences, comprehensive onboarding, and proactive advising, has reduced confusion, minimized course bottlenecks, and increased student persistence. SBVC has discovered that aligning equity practices with academic pathways and institutional structures ensures that interventions reach students in a timely and meaningful way. This approach will continue in the next plan cycle, with targeted enhancements for DI populations based on disaggregated outcome data.</w:t>
      </w:r>
    </w:p>
    <w:p w14:paraId="427E62C2" w14:textId="77777777" w:rsidR="008A02B4" w:rsidRPr="009800F1" w:rsidRDefault="008A02B4" w:rsidP="00181817">
      <w:pPr>
        <w:spacing w:line="240" w:lineRule="auto"/>
        <w:contextualSpacing/>
        <w:rPr>
          <w:rFonts w:ascii="Mangal Pro" w:hAnsi="Mangal Pro" w:cs="Mangal Pro"/>
          <w:sz w:val="22"/>
          <w:szCs w:val="22"/>
        </w:rPr>
      </w:pPr>
    </w:p>
    <w:p w14:paraId="389D080C" w14:textId="77777777" w:rsidR="006F1AE4" w:rsidRPr="00671853" w:rsidRDefault="006F1AE4" w:rsidP="00A41ADB">
      <w:pPr>
        <w:pStyle w:val="ListParagraph"/>
        <w:numPr>
          <w:ilvl w:val="0"/>
          <w:numId w:val="44"/>
        </w:numPr>
        <w:spacing w:line="240" w:lineRule="auto"/>
        <w:rPr>
          <w:rFonts w:ascii="Mangal Pro" w:hAnsi="Mangal Pro" w:cs="Mangal Pro"/>
          <w:sz w:val="22"/>
          <w:szCs w:val="22"/>
        </w:rPr>
      </w:pPr>
      <w:r w:rsidRPr="00671853">
        <w:rPr>
          <w:rFonts w:ascii="Mangal Pro" w:hAnsi="Mangal Pro" w:cs="Mangal Pro"/>
          <w:sz w:val="22"/>
          <w:szCs w:val="22"/>
        </w:rPr>
        <w:t xml:space="preserve">SBVC’s practice of regularly reviewing disaggregated student outcome data, combining quantitative metrics with qualitative student feedback, and making evidence-based adjustments has been critical in closing equity gaps. Additionally, the use of cross-constituent committees, such as the Student Success Advisory Committee, fosters shared responsibility and accountability for equity outcomes. SBVC has learned that a culture of transparency, reflection, and collaborative problem-solving drives effective and sustainable change. These </w:t>
      </w:r>
      <w:r w:rsidRPr="00671853">
        <w:rPr>
          <w:rFonts w:ascii="Mangal Pro" w:hAnsi="Mangal Pro" w:cs="Mangal Pro"/>
          <w:sz w:val="22"/>
          <w:szCs w:val="22"/>
        </w:rPr>
        <w:lastRenderedPageBreak/>
        <w:t>processes will continue as a cornerstone of the 2025–2028 plan, ensuring that interventions remain responsive, measurable, and equity-focused.</w:t>
      </w:r>
    </w:p>
    <w:p w14:paraId="7B4A8820" w14:textId="77777777" w:rsidR="006F1AE4" w:rsidRPr="009800F1" w:rsidRDefault="006F1AE4" w:rsidP="00181817">
      <w:pPr>
        <w:spacing w:line="240" w:lineRule="auto"/>
        <w:contextualSpacing/>
        <w:rPr>
          <w:rFonts w:ascii="Mangal Pro" w:hAnsi="Mangal Pro" w:cs="Mangal Pro"/>
          <w:sz w:val="22"/>
          <w:szCs w:val="22"/>
        </w:rPr>
      </w:pPr>
      <w:r w:rsidRPr="009800F1">
        <w:rPr>
          <w:rFonts w:ascii="Mangal Pro" w:hAnsi="Mangal Pro" w:cs="Mangal Pro"/>
          <w:sz w:val="22"/>
          <w:szCs w:val="22"/>
        </w:rPr>
        <w:t>Guiding Principles for 2025–2028</w:t>
      </w:r>
    </w:p>
    <w:p w14:paraId="755536AC" w14:textId="77777777" w:rsidR="006F1AE4" w:rsidRPr="009800F1" w:rsidRDefault="006F1AE4" w:rsidP="00A41ADB">
      <w:pPr>
        <w:numPr>
          <w:ilvl w:val="0"/>
          <w:numId w:val="6"/>
        </w:numPr>
        <w:spacing w:line="240" w:lineRule="auto"/>
        <w:contextualSpacing/>
        <w:rPr>
          <w:rFonts w:ascii="Mangal Pro" w:hAnsi="Mangal Pro" w:cs="Mangal Pro"/>
          <w:sz w:val="22"/>
          <w:szCs w:val="22"/>
        </w:rPr>
      </w:pPr>
      <w:r w:rsidRPr="009800F1">
        <w:rPr>
          <w:rFonts w:ascii="Mangal Pro" w:hAnsi="Mangal Pro" w:cs="Mangal Pro"/>
          <w:sz w:val="22"/>
          <w:szCs w:val="22"/>
        </w:rPr>
        <w:t>Student Voice at the Center: Continue to actively solicit and incorporate input from DI student populations to ensure strategies reflect lived experiences.</w:t>
      </w:r>
    </w:p>
    <w:p w14:paraId="611F58D9" w14:textId="0E99F2E9" w:rsidR="006F1AE4" w:rsidRPr="009800F1" w:rsidRDefault="006F1AE4" w:rsidP="00A41ADB">
      <w:pPr>
        <w:numPr>
          <w:ilvl w:val="0"/>
          <w:numId w:val="6"/>
        </w:numPr>
        <w:spacing w:line="240" w:lineRule="auto"/>
        <w:contextualSpacing/>
        <w:rPr>
          <w:rFonts w:ascii="Mangal Pro" w:hAnsi="Mangal Pro" w:cs="Mangal Pro"/>
          <w:sz w:val="22"/>
          <w:szCs w:val="22"/>
        </w:rPr>
      </w:pPr>
      <w:r w:rsidRPr="009800F1">
        <w:rPr>
          <w:rFonts w:ascii="Mangal Pro" w:hAnsi="Mangal Pro" w:cs="Mangal Pro"/>
          <w:sz w:val="22"/>
          <w:szCs w:val="22"/>
        </w:rPr>
        <w:t xml:space="preserve">Targeted Equity Strategies: Expand culturally relevant programs and pathway-specific interventions that </w:t>
      </w:r>
      <w:r w:rsidR="005078B1">
        <w:rPr>
          <w:rFonts w:ascii="Mangal Pro" w:hAnsi="Mangal Pro" w:cs="Mangal Pro"/>
          <w:sz w:val="22"/>
          <w:szCs w:val="22"/>
        </w:rPr>
        <w:t>will</w:t>
      </w:r>
      <w:r w:rsidRPr="009800F1">
        <w:rPr>
          <w:rFonts w:ascii="Mangal Pro" w:hAnsi="Mangal Pro" w:cs="Mangal Pro"/>
          <w:sz w:val="22"/>
          <w:szCs w:val="22"/>
        </w:rPr>
        <w:t xml:space="preserve"> demonstrate measurable impact.</w:t>
      </w:r>
    </w:p>
    <w:p w14:paraId="0AA05A1F" w14:textId="7770966D" w:rsidR="006F1AE4" w:rsidRPr="009800F1" w:rsidRDefault="006F1AE4" w:rsidP="00A41ADB">
      <w:pPr>
        <w:numPr>
          <w:ilvl w:val="0"/>
          <w:numId w:val="6"/>
        </w:numPr>
        <w:spacing w:line="240" w:lineRule="auto"/>
        <w:contextualSpacing/>
        <w:rPr>
          <w:rFonts w:ascii="Mangal Pro" w:hAnsi="Mangal Pro" w:cs="Mangal Pro"/>
          <w:sz w:val="22"/>
          <w:szCs w:val="22"/>
        </w:rPr>
      </w:pPr>
      <w:r w:rsidRPr="009800F1">
        <w:rPr>
          <w:rFonts w:ascii="Mangal Pro" w:hAnsi="Mangal Pro" w:cs="Mangal Pro"/>
          <w:sz w:val="22"/>
          <w:szCs w:val="22"/>
        </w:rPr>
        <w:t>Data</w:t>
      </w:r>
      <w:r w:rsidR="00D92E83" w:rsidRPr="009800F1">
        <w:rPr>
          <w:rFonts w:ascii="Mangal Pro" w:hAnsi="Mangal Pro" w:cs="Mangal Pro"/>
          <w:sz w:val="22"/>
          <w:szCs w:val="22"/>
        </w:rPr>
        <w:t xml:space="preserve"> </w:t>
      </w:r>
      <w:r w:rsidRPr="009800F1">
        <w:rPr>
          <w:rFonts w:ascii="Mangal Pro" w:hAnsi="Mangal Pro" w:cs="Mangal Pro"/>
          <w:sz w:val="22"/>
          <w:szCs w:val="22"/>
        </w:rPr>
        <w:t xml:space="preserve">Driven Adaptation: </w:t>
      </w:r>
      <w:r w:rsidR="005078B1">
        <w:rPr>
          <w:rFonts w:ascii="Mangal Pro" w:hAnsi="Mangal Pro" w:cs="Mangal Pro"/>
          <w:sz w:val="22"/>
          <w:szCs w:val="22"/>
        </w:rPr>
        <w:t>Continue to maintain a</w:t>
      </w:r>
      <w:r w:rsidRPr="009800F1">
        <w:rPr>
          <w:rFonts w:ascii="Mangal Pro" w:hAnsi="Mangal Pro" w:cs="Mangal Pro"/>
          <w:sz w:val="22"/>
          <w:szCs w:val="22"/>
        </w:rPr>
        <w:t xml:space="preserve"> structured, semesterly</w:t>
      </w:r>
      <w:r w:rsidR="001B7C8E">
        <w:rPr>
          <w:rFonts w:ascii="Mangal Pro" w:hAnsi="Mangal Pro" w:cs="Mangal Pro"/>
          <w:sz w:val="22"/>
          <w:szCs w:val="22"/>
        </w:rPr>
        <w:t>,</w:t>
      </w:r>
      <w:r w:rsidRPr="009800F1">
        <w:rPr>
          <w:rFonts w:ascii="Mangal Pro" w:hAnsi="Mangal Pro" w:cs="Mangal Pro"/>
          <w:sz w:val="22"/>
          <w:szCs w:val="22"/>
        </w:rPr>
        <w:t xml:space="preserve"> and annual evaluation cycle to inform continuous improvement and </w:t>
      </w:r>
      <w:r w:rsidR="001B7C8E">
        <w:rPr>
          <w:rFonts w:ascii="Mangal Pro" w:hAnsi="Mangal Pro" w:cs="Mangal Pro"/>
          <w:sz w:val="22"/>
          <w:szCs w:val="22"/>
        </w:rPr>
        <w:t>campus-wide</w:t>
      </w:r>
      <w:r w:rsidRPr="009800F1">
        <w:rPr>
          <w:rFonts w:ascii="Mangal Pro" w:hAnsi="Mangal Pro" w:cs="Mangal Pro"/>
          <w:sz w:val="22"/>
          <w:szCs w:val="22"/>
        </w:rPr>
        <w:t xml:space="preserve"> accountability.</w:t>
      </w:r>
    </w:p>
    <w:p w14:paraId="44AE1035" w14:textId="74472821" w:rsidR="006F1AE4" w:rsidRPr="009800F1" w:rsidRDefault="006F1AE4" w:rsidP="00181817">
      <w:pPr>
        <w:spacing w:line="240" w:lineRule="auto"/>
        <w:contextualSpacing/>
        <w:rPr>
          <w:rFonts w:ascii="Mangal Pro" w:hAnsi="Mangal Pro" w:cs="Mangal Pro"/>
          <w:sz w:val="22"/>
          <w:szCs w:val="22"/>
        </w:rPr>
      </w:pPr>
      <w:r w:rsidRPr="009800F1">
        <w:rPr>
          <w:rFonts w:ascii="Mangal Pro" w:hAnsi="Mangal Pro" w:cs="Mangal Pro"/>
          <w:sz w:val="22"/>
          <w:szCs w:val="22"/>
        </w:rPr>
        <w:t>By leveraging these discoveries and maintaining continuity from the previous plan, SBVC is positioned to strengthen its equity-focused culture, sustain successful interventions, and advance measurable outcomes for all disproportionately impacted student populations in the 2025–2028 Student Equity Plan</w:t>
      </w:r>
      <w:r w:rsidR="00D92E83" w:rsidRPr="009800F1">
        <w:rPr>
          <w:rFonts w:ascii="Mangal Pro" w:hAnsi="Mangal Pro" w:cs="Mangal Pro"/>
          <w:sz w:val="22"/>
          <w:szCs w:val="22"/>
        </w:rPr>
        <w:t>.</w:t>
      </w:r>
    </w:p>
    <w:p w14:paraId="61BFC78D" w14:textId="77777777" w:rsidR="00C90E48" w:rsidRDefault="00C90E48">
      <w:pPr>
        <w:rPr>
          <w:rFonts w:ascii="Mangal Pro" w:hAnsi="Mangal Pro" w:cs="Mangal Pro"/>
          <w:b/>
          <w:bCs/>
          <w:sz w:val="22"/>
          <w:szCs w:val="22"/>
        </w:rPr>
      </w:pPr>
    </w:p>
    <w:p w14:paraId="27D0E7FE" w14:textId="77777777" w:rsidR="00A055BE" w:rsidRDefault="00A055BE">
      <w:pPr>
        <w:rPr>
          <w:rFonts w:ascii="Mangal Pro" w:hAnsi="Mangal Pro" w:cs="Mangal Pro"/>
          <w:b/>
          <w:bCs/>
          <w:sz w:val="22"/>
          <w:szCs w:val="22"/>
        </w:rPr>
      </w:pPr>
    </w:p>
    <w:p w14:paraId="620A2D29" w14:textId="77777777" w:rsidR="00A055BE" w:rsidRDefault="00A055BE">
      <w:pPr>
        <w:rPr>
          <w:rFonts w:ascii="Mangal Pro" w:hAnsi="Mangal Pro" w:cs="Mangal Pro"/>
          <w:b/>
          <w:bCs/>
          <w:sz w:val="22"/>
          <w:szCs w:val="22"/>
        </w:rPr>
      </w:pPr>
    </w:p>
    <w:p w14:paraId="579B5395" w14:textId="77777777" w:rsidR="00A055BE" w:rsidRDefault="00A055BE">
      <w:pPr>
        <w:rPr>
          <w:rFonts w:ascii="Mangal Pro" w:hAnsi="Mangal Pro" w:cs="Mangal Pro"/>
          <w:b/>
          <w:bCs/>
          <w:sz w:val="22"/>
          <w:szCs w:val="22"/>
        </w:rPr>
      </w:pPr>
    </w:p>
    <w:p w14:paraId="1540D8F9" w14:textId="77777777" w:rsidR="00A055BE" w:rsidRDefault="00A055BE">
      <w:pPr>
        <w:rPr>
          <w:rFonts w:ascii="Mangal Pro" w:hAnsi="Mangal Pro" w:cs="Mangal Pro"/>
          <w:b/>
          <w:bCs/>
          <w:sz w:val="22"/>
          <w:szCs w:val="22"/>
        </w:rPr>
      </w:pPr>
    </w:p>
    <w:p w14:paraId="1ED66104" w14:textId="77777777" w:rsidR="00A055BE" w:rsidRDefault="00A055BE">
      <w:pPr>
        <w:rPr>
          <w:rFonts w:ascii="Mangal Pro" w:hAnsi="Mangal Pro" w:cs="Mangal Pro"/>
          <w:b/>
          <w:bCs/>
          <w:sz w:val="22"/>
          <w:szCs w:val="22"/>
        </w:rPr>
      </w:pPr>
    </w:p>
    <w:p w14:paraId="484F86AD" w14:textId="77777777" w:rsidR="00A055BE" w:rsidRDefault="00A055BE">
      <w:pPr>
        <w:rPr>
          <w:rFonts w:ascii="Mangal Pro" w:hAnsi="Mangal Pro" w:cs="Mangal Pro"/>
          <w:b/>
          <w:bCs/>
          <w:sz w:val="22"/>
          <w:szCs w:val="22"/>
        </w:rPr>
      </w:pPr>
    </w:p>
    <w:p w14:paraId="327D78E6" w14:textId="77777777" w:rsidR="00A055BE" w:rsidRDefault="00A055BE">
      <w:pPr>
        <w:rPr>
          <w:rFonts w:ascii="Mangal Pro" w:hAnsi="Mangal Pro" w:cs="Mangal Pro"/>
          <w:b/>
          <w:bCs/>
          <w:sz w:val="22"/>
          <w:szCs w:val="22"/>
        </w:rPr>
      </w:pPr>
    </w:p>
    <w:p w14:paraId="503C900D" w14:textId="77777777" w:rsidR="00A055BE" w:rsidRDefault="00A055BE">
      <w:pPr>
        <w:rPr>
          <w:rFonts w:ascii="Mangal Pro" w:hAnsi="Mangal Pro" w:cs="Mangal Pro"/>
          <w:b/>
          <w:bCs/>
          <w:sz w:val="22"/>
          <w:szCs w:val="22"/>
        </w:rPr>
      </w:pPr>
    </w:p>
    <w:p w14:paraId="491D412C" w14:textId="77777777" w:rsidR="00A055BE" w:rsidRDefault="00A055BE">
      <w:pPr>
        <w:rPr>
          <w:rFonts w:ascii="Mangal Pro" w:hAnsi="Mangal Pro" w:cs="Mangal Pro"/>
          <w:b/>
          <w:bCs/>
          <w:sz w:val="22"/>
          <w:szCs w:val="22"/>
        </w:rPr>
      </w:pPr>
    </w:p>
    <w:p w14:paraId="541A04C5" w14:textId="77777777" w:rsidR="00A055BE" w:rsidRDefault="00A055BE">
      <w:pPr>
        <w:rPr>
          <w:rFonts w:ascii="Mangal Pro" w:hAnsi="Mangal Pro" w:cs="Mangal Pro"/>
          <w:b/>
          <w:bCs/>
          <w:sz w:val="22"/>
          <w:szCs w:val="22"/>
        </w:rPr>
      </w:pPr>
    </w:p>
    <w:p w14:paraId="01013729" w14:textId="77777777" w:rsidR="00A055BE" w:rsidRDefault="00A055BE">
      <w:pPr>
        <w:rPr>
          <w:rFonts w:ascii="Mangal Pro" w:hAnsi="Mangal Pro" w:cs="Mangal Pro"/>
          <w:b/>
          <w:bCs/>
          <w:sz w:val="22"/>
          <w:szCs w:val="22"/>
        </w:rPr>
      </w:pPr>
    </w:p>
    <w:p w14:paraId="0C34E838" w14:textId="0535EE3C" w:rsidR="00671853" w:rsidRPr="00A055BE" w:rsidRDefault="00671853">
      <w:pPr>
        <w:rPr>
          <w:rFonts w:ascii="Mangal Pro" w:hAnsi="Mangal Pro" w:cs="Mangal Pro"/>
          <w:b/>
          <w:bCs/>
          <w:sz w:val="36"/>
          <w:szCs w:val="36"/>
        </w:rPr>
      </w:pPr>
      <w:r w:rsidRPr="00A055BE">
        <w:rPr>
          <w:rFonts w:ascii="Mangal Pro" w:hAnsi="Mangal Pro" w:cs="Mangal Pro"/>
          <w:b/>
          <w:bCs/>
          <w:sz w:val="36"/>
          <w:szCs w:val="36"/>
        </w:rPr>
        <w:lastRenderedPageBreak/>
        <w:t>SECTION 4: EXECUTIVE SUMMARY</w:t>
      </w:r>
    </w:p>
    <w:p w14:paraId="0269AE7F" w14:textId="77777777" w:rsidR="005E68A1" w:rsidRDefault="00B76071" w:rsidP="00D07F62">
      <w:pPr>
        <w:spacing w:line="240" w:lineRule="auto"/>
        <w:contextualSpacing/>
        <w:rPr>
          <w:rFonts w:ascii="Mangal Pro" w:hAnsi="Mangal Pro" w:cs="Mangal Pro"/>
          <w:sz w:val="22"/>
          <w:szCs w:val="22"/>
        </w:rPr>
      </w:pPr>
      <w:r w:rsidRPr="009800F1">
        <w:rPr>
          <w:rFonts w:ascii="Mangal Pro" w:hAnsi="Mangal Pro" w:cs="Mangal Pro"/>
          <w:sz w:val="22"/>
          <w:szCs w:val="22"/>
        </w:rPr>
        <w:t>San Bernardino Valley College (SBVC) serves approximately 18,375 students each academic year. The campus is an urban section of San Bernardino County within the boundaries of the city of San Bernardino. SBVC is diverse in every respect including the faculty, staff, and students enrolled in the college. The diverse makeup of the campus contributes to our strong commitment to student equity. The intent of the Student Equity Plan is to increase student equity and success amongst students who are historically underperforming and underserved.</w:t>
      </w:r>
    </w:p>
    <w:p w14:paraId="0E41C398" w14:textId="77777777" w:rsidR="00A950CE" w:rsidRDefault="00A950CE" w:rsidP="005E68A1">
      <w:pPr>
        <w:spacing w:line="240" w:lineRule="auto"/>
        <w:contextualSpacing/>
        <w:rPr>
          <w:rFonts w:ascii="Mangal Pro" w:hAnsi="Mangal Pro" w:cs="Mangal Pro"/>
          <w:sz w:val="22"/>
          <w:szCs w:val="22"/>
        </w:rPr>
      </w:pPr>
    </w:p>
    <w:p w14:paraId="0A0E1487" w14:textId="3A37EB11" w:rsidR="005E68A1" w:rsidRDefault="005E68A1" w:rsidP="005E68A1">
      <w:pPr>
        <w:spacing w:line="240" w:lineRule="auto"/>
        <w:contextualSpacing/>
        <w:rPr>
          <w:rFonts w:ascii="Mangal Pro" w:hAnsi="Mangal Pro" w:cs="Mangal Pro"/>
          <w:sz w:val="22"/>
          <w:szCs w:val="22"/>
        </w:rPr>
      </w:pPr>
      <w:r w:rsidRPr="005E68A1">
        <w:rPr>
          <w:rFonts w:ascii="Mangal Pro" w:hAnsi="Mangal Pro" w:cs="Mangal Pro"/>
          <w:sz w:val="22"/>
          <w:szCs w:val="22"/>
        </w:rPr>
        <w:t>San Bernardino Valley College (SBVC) has reflected on past practices to close equity gaps and is moving forward with intentional strategies aligned to the State Chancellor’s Office Vision 2030 goals. Building on lessons learned, SBVC is committed to ensuring equitable transfer, completion, and retention outcomes for all students, particularly those from historically underrepresented groups.</w:t>
      </w:r>
    </w:p>
    <w:p w14:paraId="342A9B71" w14:textId="77777777" w:rsidR="006F2989" w:rsidRPr="005E68A1" w:rsidRDefault="006F2989" w:rsidP="005E68A1">
      <w:pPr>
        <w:spacing w:line="240" w:lineRule="auto"/>
        <w:contextualSpacing/>
        <w:rPr>
          <w:rFonts w:ascii="Mangal Pro" w:hAnsi="Mangal Pro" w:cs="Mangal Pro"/>
          <w:sz w:val="22"/>
          <w:szCs w:val="22"/>
        </w:rPr>
      </w:pPr>
    </w:p>
    <w:p w14:paraId="59364028" w14:textId="0127873B" w:rsidR="005E68A1" w:rsidRPr="005E68A1" w:rsidRDefault="003E7097" w:rsidP="005E68A1">
      <w:pPr>
        <w:spacing w:line="240" w:lineRule="auto"/>
        <w:contextualSpacing/>
        <w:rPr>
          <w:rFonts w:ascii="Mangal Pro" w:hAnsi="Mangal Pro" w:cs="Mangal Pro"/>
          <w:b/>
          <w:bCs/>
          <w:sz w:val="22"/>
          <w:szCs w:val="22"/>
        </w:rPr>
      </w:pPr>
      <w:r>
        <w:rPr>
          <w:rFonts w:ascii="Mangal Pro" w:hAnsi="Mangal Pro" w:cs="Mangal Pro"/>
          <w:b/>
          <w:bCs/>
          <w:sz w:val="22"/>
          <w:szCs w:val="22"/>
        </w:rPr>
        <w:t>Black Serving Institution Designation</w:t>
      </w:r>
    </w:p>
    <w:p w14:paraId="11481274" w14:textId="49B7A7A9" w:rsidR="005E68A1" w:rsidRPr="005E68A1" w:rsidRDefault="005E68A1" w:rsidP="005E68A1">
      <w:pPr>
        <w:spacing w:line="240" w:lineRule="auto"/>
        <w:contextualSpacing/>
        <w:rPr>
          <w:rFonts w:ascii="Mangal Pro" w:hAnsi="Mangal Pro" w:cs="Mangal Pro"/>
          <w:sz w:val="22"/>
          <w:szCs w:val="22"/>
        </w:rPr>
      </w:pPr>
      <w:r w:rsidRPr="005E68A1">
        <w:rPr>
          <w:rFonts w:ascii="Mangal Pro" w:hAnsi="Mangal Pro" w:cs="Mangal Pro"/>
          <w:sz w:val="22"/>
          <w:szCs w:val="22"/>
        </w:rPr>
        <w:t xml:space="preserve">SBVC has applied for the </w:t>
      </w:r>
      <w:r w:rsidR="00A950CE" w:rsidRPr="006F2989">
        <w:rPr>
          <w:rFonts w:ascii="Mangal Pro" w:hAnsi="Mangal Pro" w:cs="Mangal Pro"/>
          <w:sz w:val="22"/>
          <w:szCs w:val="22"/>
        </w:rPr>
        <w:t xml:space="preserve">Black </w:t>
      </w:r>
      <w:r w:rsidR="006F2989" w:rsidRPr="006F2989">
        <w:rPr>
          <w:rFonts w:ascii="Mangal Pro" w:hAnsi="Mangal Pro" w:cs="Mangal Pro"/>
          <w:sz w:val="22"/>
          <w:szCs w:val="22"/>
        </w:rPr>
        <w:t>Serving Institution</w:t>
      </w:r>
      <w:r w:rsidRPr="005E68A1">
        <w:rPr>
          <w:rFonts w:ascii="Mangal Pro" w:hAnsi="Mangal Pro" w:cs="Mangal Pro"/>
          <w:sz w:val="22"/>
          <w:szCs w:val="22"/>
        </w:rPr>
        <w:t xml:space="preserve"> (BSI) designation to strengthen foundational learning and expand resources for developmental education. This designation supports equity by providing scaffolding for students entering with diverse academic backgrounds, ensuring readiness for transfer and career pathways.</w:t>
      </w:r>
    </w:p>
    <w:p w14:paraId="6F9077A0" w14:textId="77777777" w:rsidR="006F2989" w:rsidRDefault="006F2989" w:rsidP="005E68A1">
      <w:pPr>
        <w:spacing w:line="240" w:lineRule="auto"/>
        <w:contextualSpacing/>
        <w:rPr>
          <w:rFonts w:ascii="Mangal Pro" w:hAnsi="Mangal Pro" w:cs="Mangal Pro"/>
          <w:b/>
          <w:bCs/>
          <w:sz w:val="22"/>
          <w:szCs w:val="22"/>
        </w:rPr>
      </w:pPr>
    </w:p>
    <w:p w14:paraId="14F8B067" w14:textId="619A17D0" w:rsidR="005E68A1" w:rsidRPr="005E68A1" w:rsidRDefault="005E68A1" w:rsidP="005E68A1">
      <w:pPr>
        <w:spacing w:line="240" w:lineRule="auto"/>
        <w:contextualSpacing/>
        <w:rPr>
          <w:rFonts w:ascii="Mangal Pro" w:hAnsi="Mangal Pro" w:cs="Mangal Pro"/>
          <w:b/>
          <w:bCs/>
          <w:sz w:val="22"/>
          <w:szCs w:val="22"/>
        </w:rPr>
      </w:pPr>
      <w:r w:rsidRPr="005E68A1">
        <w:rPr>
          <w:rFonts w:ascii="Mangal Pro" w:hAnsi="Mangal Pro" w:cs="Mangal Pro"/>
          <w:b/>
          <w:bCs/>
          <w:sz w:val="22"/>
          <w:szCs w:val="22"/>
        </w:rPr>
        <w:t>Creating a Sense of Belonging</w:t>
      </w:r>
    </w:p>
    <w:p w14:paraId="2394251A" w14:textId="77777777" w:rsidR="005E68A1" w:rsidRPr="005E68A1" w:rsidRDefault="005E68A1" w:rsidP="005E68A1">
      <w:pPr>
        <w:spacing w:line="240" w:lineRule="auto"/>
        <w:contextualSpacing/>
        <w:rPr>
          <w:rFonts w:ascii="Mangal Pro" w:hAnsi="Mangal Pro" w:cs="Mangal Pro"/>
          <w:sz w:val="22"/>
          <w:szCs w:val="22"/>
        </w:rPr>
      </w:pPr>
      <w:r w:rsidRPr="005E68A1">
        <w:rPr>
          <w:rFonts w:ascii="Mangal Pro" w:hAnsi="Mangal Pro" w:cs="Mangal Pro"/>
          <w:sz w:val="22"/>
          <w:szCs w:val="22"/>
        </w:rPr>
        <w:t>A strong sense of belonging is central to student success. SBVC is expanding peer mentorship, culturally responsive student organizations, and inclusive campus events to foster connection and community. These initiatives empower students to feel valued, supported, and motivated to persist toward their academic and career goals.</w:t>
      </w:r>
    </w:p>
    <w:p w14:paraId="7E7982D9" w14:textId="77777777" w:rsidR="006F2989" w:rsidRDefault="006F2989" w:rsidP="005E68A1">
      <w:pPr>
        <w:spacing w:line="240" w:lineRule="auto"/>
        <w:contextualSpacing/>
        <w:rPr>
          <w:rFonts w:ascii="Mangal Pro" w:hAnsi="Mangal Pro" w:cs="Mangal Pro"/>
          <w:b/>
          <w:bCs/>
          <w:sz w:val="22"/>
          <w:szCs w:val="22"/>
        </w:rPr>
      </w:pPr>
    </w:p>
    <w:p w14:paraId="05602D71" w14:textId="144A3900" w:rsidR="005E68A1" w:rsidRPr="005E68A1" w:rsidRDefault="005E68A1" w:rsidP="005E68A1">
      <w:pPr>
        <w:spacing w:line="240" w:lineRule="auto"/>
        <w:contextualSpacing/>
        <w:rPr>
          <w:rFonts w:ascii="Mangal Pro" w:hAnsi="Mangal Pro" w:cs="Mangal Pro"/>
          <w:b/>
          <w:bCs/>
          <w:sz w:val="22"/>
          <w:szCs w:val="22"/>
        </w:rPr>
      </w:pPr>
      <w:r w:rsidRPr="005E68A1">
        <w:rPr>
          <w:rFonts w:ascii="Mangal Pro" w:hAnsi="Mangal Pro" w:cs="Mangal Pro"/>
          <w:b/>
          <w:bCs/>
          <w:sz w:val="22"/>
          <w:szCs w:val="22"/>
        </w:rPr>
        <w:t>Enhancing Culturally Responsive Learning Communities</w:t>
      </w:r>
    </w:p>
    <w:p w14:paraId="55BBF71B" w14:textId="77777777" w:rsidR="005E68A1" w:rsidRPr="005E68A1" w:rsidRDefault="005E68A1" w:rsidP="005E68A1">
      <w:pPr>
        <w:spacing w:line="240" w:lineRule="auto"/>
        <w:contextualSpacing/>
        <w:rPr>
          <w:rFonts w:ascii="Mangal Pro" w:hAnsi="Mangal Pro" w:cs="Mangal Pro"/>
          <w:sz w:val="22"/>
          <w:szCs w:val="22"/>
        </w:rPr>
      </w:pPr>
      <w:r w:rsidRPr="005E68A1">
        <w:rPr>
          <w:rFonts w:ascii="Mangal Pro" w:hAnsi="Mangal Pro" w:cs="Mangal Pro"/>
          <w:sz w:val="22"/>
          <w:szCs w:val="22"/>
        </w:rPr>
        <w:t xml:space="preserve">SBVC is enhancing culturally responsive learning communities that integrate equity into curriculum, pedagogy, and student support. Faculty development emphasizes inclusive teaching, while learning communities provide academic support and cultural </w:t>
      </w:r>
      <w:r w:rsidRPr="005E68A1">
        <w:rPr>
          <w:rFonts w:ascii="Mangal Pro" w:hAnsi="Mangal Pro" w:cs="Mangal Pro"/>
          <w:sz w:val="22"/>
          <w:szCs w:val="22"/>
        </w:rPr>
        <w:lastRenderedPageBreak/>
        <w:t>affirmation. These efforts strengthen engagement, retention, and equitable outcomes in transfer, degree completion, and workforce readiness.</w:t>
      </w:r>
    </w:p>
    <w:p w14:paraId="083ABDF6" w14:textId="77777777" w:rsidR="006F2989" w:rsidRDefault="006F2989" w:rsidP="005E68A1">
      <w:pPr>
        <w:spacing w:line="240" w:lineRule="auto"/>
        <w:contextualSpacing/>
        <w:rPr>
          <w:rFonts w:ascii="Mangal Pro" w:hAnsi="Mangal Pro" w:cs="Mangal Pro"/>
          <w:b/>
          <w:bCs/>
          <w:sz w:val="22"/>
          <w:szCs w:val="22"/>
        </w:rPr>
      </w:pPr>
    </w:p>
    <w:p w14:paraId="2703A359" w14:textId="2CD1752E" w:rsidR="005E68A1" w:rsidRPr="005E68A1" w:rsidRDefault="005E68A1" w:rsidP="005E68A1">
      <w:pPr>
        <w:spacing w:line="240" w:lineRule="auto"/>
        <w:contextualSpacing/>
        <w:rPr>
          <w:rFonts w:ascii="Mangal Pro" w:hAnsi="Mangal Pro" w:cs="Mangal Pro"/>
          <w:sz w:val="22"/>
          <w:szCs w:val="22"/>
        </w:rPr>
      </w:pPr>
      <w:r w:rsidRPr="005E68A1">
        <w:rPr>
          <w:rFonts w:ascii="Mangal Pro" w:hAnsi="Mangal Pro" w:cs="Mangal Pro"/>
          <w:sz w:val="22"/>
          <w:szCs w:val="22"/>
        </w:rPr>
        <w:t>Through reflection, intentional planning, and alignment with Vision 2030, SBVC is advancing equity</w:t>
      </w:r>
      <w:r w:rsidRPr="005E68A1">
        <w:rPr>
          <w:rFonts w:ascii="Mangal Pro" w:hAnsi="Mangal Pro" w:cs="Mangal Pro"/>
          <w:sz w:val="22"/>
          <w:szCs w:val="22"/>
        </w:rPr>
        <w:noBreakHyphen/>
        <w:t xml:space="preserve">driven strategies that close gaps, foster belonging, and enhance culturally responsive practices. These commitments ensure that all students </w:t>
      </w:r>
      <w:r w:rsidR="006F2989" w:rsidRPr="005E68A1">
        <w:rPr>
          <w:rFonts w:ascii="Mangal Pro" w:hAnsi="Mangal Pro" w:cs="Mangal Pro"/>
          <w:sz w:val="22"/>
          <w:szCs w:val="22"/>
        </w:rPr>
        <w:t>can</w:t>
      </w:r>
      <w:r w:rsidRPr="005E68A1">
        <w:rPr>
          <w:rFonts w:ascii="Mangal Pro" w:hAnsi="Mangal Pro" w:cs="Mangal Pro"/>
          <w:sz w:val="22"/>
          <w:szCs w:val="22"/>
        </w:rPr>
        <w:t xml:space="preserve"> thrive academically and achieve successful transfer and career outcomes.</w:t>
      </w:r>
    </w:p>
    <w:p w14:paraId="4F37B4F8" w14:textId="77777777" w:rsidR="00F93DD0" w:rsidRDefault="00F93DD0" w:rsidP="00F93DD0">
      <w:pPr>
        <w:contextualSpacing/>
        <w:rPr>
          <w:rFonts w:ascii="Mangal Pro" w:hAnsi="Mangal Pro" w:cs="Mangal Pro"/>
          <w:sz w:val="22"/>
          <w:szCs w:val="22"/>
        </w:rPr>
      </w:pPr>
    </w:p>
    <w:p w14:paraId="5C2AA47E" w14:textId="7A6689B6" w:rsidR="00F93DD0" w:rsidRPr="00F93DD0" w:rsidRDefault="00F93DD0" w:rsidP="00924E22">
      <w:pPr>
        <w:spacing w:line="240" w:lineRule="auto"/>
        <w:contextualSpacing/>
        <w:rPr>
          <w:rFonts w:ascii="Mangal Pro" w:hAnsi="Mangal Pro" w:cs="Mangal Pro"/>
          <w:sz w:val="22"/>
          <w:szCs w:val="22"/>
        </w:rPr>
      </w:pPr>
      <w:r w:rsidRPr="00F93DD0">
        <w:rPr>
          <w:rFonts w:ascii="Mangal Pro" w:hAnsi="Mangal Pro" w:cs="Mangal Pro"/>
          <w:b/>
          <w:bCs/>
          <w:sz w:val="22"/>
          <w:szCs w:val="22"/>
        </w:rPr>
        <w:t>Integrated Curriculum, Instruction, and Student Support</w:t>
      </w:r>
      <w:r w:rsidRPr="00F93DD0">
        <w:rPr>
          <w:rFonts w:ascii="Mangal Pro" w:hAnsi="Mangal Pro" w:cs="Mangal Pro"/>
          <w:sz w:val="22"/>
          <w:szCs w:val="22"/>
        </w:rPr>
        <w:t xml:space="preserve"> SBVC recognizes that a successful educational journey requires alignment between curriculum, instructional practices, and student support services. Curriculum will be designed to reflect </w:t>
      </w:r>
      <w:r w:rsidR="00EE6D6F" w:rsidRPr="00F93DD0">
        <w:rPr>
          <w:rFonts w:ascii="Mangal Pro" w:hAnsi="Mangal Pro" w:cs="Mangal Pro"/>
          <w:sz w:val="22"/>
          <w:szCs w:val="22"/>
        </w:rPr>
        <w:t>transfer,</w:t>
      </w:r>
      <w:r w:rsidRPr="00F93DD0">
        <w:rPr>
          <w:rFonts w:ascii="Mangal Pro" w:hAnsi="Mangal Pro" w:cs="Mangal Pro"/>
          <w:sz w:val="22"/>
          <w:szCs w:val="22"/>
        </w:rPr>
        <w:t xml:space="preserve"> and workforce demands while embedding equity and culturally responsive content. Faculty will employ inclusive instructional strategies that foster engagement and academic rigor. Student support services</w:t>
      </w:r>
      <w:r w:rsidR="00EE6D6F">
        <w:rPr>
          <w:rFonts w:ascii="Mangal Pro" w:hAnsi="Mangal Pro" w:cs="Mangal Pro"/>
          <w:sz w:val="22"/>
          <w:szCs w:val="22"/>
        </w:rPr>
        <w:t xml:space="preserve">, </w:t>
      </w:r>
      <w:r w:rsidRPr="00F93DD0">
        <w:rPr>
          <w:rFonts w:ascii="Mangal Pro" w:hAnsi="Mangal Pro" w:cs="Mangal Pro"/>
          <w:sz w:val="22"/>
          <w:szCs w:val="22"/>
        </w:rPr>
        <w:t>including counseling, tutoring, financial aid, and basic needs resources</w:t>
      </w:r>
      <w:r w:rsidR="00EE6D6F">
        <w:rPr>
          <w:rFonts w:ascii="Mangal Pro" w:hAnsi="Mangal Pro" w:cs="Mangal Pro"/>
          <w:sz w:val="22"/>
          <w:szCs w:val="22"/>
        </w:rPr>
        <w:t xml:space="preserve">, </w:t>
      </w:r>
      <w:r w:rsidRPr="00F93DD0">
        <w:rPr>
          <w:rFonts w:ascii="Mangal Pro" w:hAnsi="Mangal Pro" w:cs="Mangal Pro"/>
          <w:sz w:val="22"/>
          <w:szCs w:val="22"/>
        </w:rPr>
        <w:t>will be intentionally integrated into the classroom experience and extended beyond it. By combining these elements, SBVC ensures students receive holistic guidance that strengthens learning, retention, and completion both inside and outside the classroom.</w:t>
      </w:r>
    </w:p>
    <w:p w14:paraId="11EB89CF" w14:textId="77777777" w:rsidR="00D74B7B" w:rsidRDefault="00D74B7B" w:rsidP="00144CC0">
      <w:pPr>
        <w:spacing w:line="240" w:lineRule="auto"/>
        <w:contextualSpacing/>
        <w:rPr>
          <w:rFonts w:ascii="Mangal Pro" w:hAnsi="Mangal Pro" w:cs="Mangal Pro"/>
          <w:sz w:val="22"/>
          <w:szCs w:val="22"/>
        </w:rPr>
      </w:pPr>
    </w:p>
    <w:p w14:paraId="6E7668B1" w14:textId="77777777" w:rsidR="003E7097" w:rsidRDefault="00924E22" w:rsidP="003E7097">
      <w:pPr>
        <w:spacing w:line="240" w:lineRule="auto"/>
        <w:contextualSpacing/>
        <w:rPr>
          <w:rFonts w:ascii="Mangal Pro" w:hAnsi="Mangal Pro" w:cs="Mangal Pro"/>
          <w:b/>
          <w:bCs/>
          <w:sz w:val="22"/>
          <w:szCs w:val="22"/>
        </w:rPr>
      </w:pPr>
      <w:r w:rsidRPr="00924E22">
        <w:rPr>
          <w:rFonts w:ascii="Mangal Pro" w:hAnsi="Mangal Pro" w:cs="Mangal Pro"/>
          <w:b/>
          <w:bCs/>
          <w:sz w:val="22"/>
          <w:szCs w:val="22"/>
        </w:rPr>
        <w:t>Equity-Focused Professional Development</w:t>
      </w:r>
    </w:p>
    <w:p w14:paraId="57A49CEF" w14:textId="2B8BC5BE" w:rsidR="00B76071" w:rsidRDefault="003E7097" w:rsidP="003E7097">
      <w:pPr>
        <w:spacing w:line="240" w:lineRule="auto"/>
        <w:contextualSpacing/>
        <w:rPr>
          <w:rFonts w:ascii="Mangal Pro" w:hAnsi="Mangal Pro" w:cs="Mangal Pro"/>
          <w:sz w:val="22"/>
          <w:szCs w:val="22"/>
        </w:rPr>
      </w:pPr>
      <w:r w:rsidRPr="003E7097">
        <w:rPr>
          <w:rFonts w:ascii="Mangal Pro" w:hAnsi="Mangal Pro" w:cs="Mangal Pro"/>
          <w:sz w:val="22"/>
          <w:szCs w:val="22"/>
        </w:rPr>
        <w:t>SBVC is deeply committed to advancing equity through intentional professional development opportunities that empower both staff and students. Faculty, administrators, and student leaders have actively participated in nationally recognized conferences and structured training programs designed to strengthen equity practices and cultural responsiveness. In addition, faculty and staff engaged in structured trainings offered through the USC Race and Equity Center and attended conferences such as NCORE, HACU, A2MEND, and APAHE. These experiences provide SBVC with valuable strategies to close equity gaps, foster inclusive learning environments, and advance the Vision 2030 goals.</w:t>
      </w:r>
      <w:r w:rsidR="00D9394E">
        <w:rPr>
          <w:rFonts w:ascii="Mangal Pro" w:hAnsi="Mangal Pro" w:cs="Mangal Pro"/>
          <w:sz w:val="22"/>
          <w:szCs w:val="22"/>
        </w:rPr>
        <w:t xml:space="preserve"> </w:t>
      </w:r>
    </w:p>
    <w:p w14:paraId="5268C32B" w14:textId="77777777" w:rsidR="00D2672B" w:rsidRDefault="00D2672B" w:rsidP="00B76071">
      <w:pPr>
        <w:spacing w:line="240" w:lineRule="auto"/>
        <w:contextualSpacing/>
        <w:rPr>
          <w:rFonts w:ascii="Mangal Pro" w:hAnsi="Mangal Pro" w:cs="Mangal Pro"/>
          <w:sz w:val="22"/>
          <w:szCs w:val="22"/>
        </w:rPr>
      </w:pPr>
    </w:p>
    <w:p w14:paraId="61256F74" w14:textId="468E0BD5" w:rsidR="00B76071" w:rsidRPr="009800F1" w:rsidRDefault="00D2672B" w:rsidP="00B76071">
      <w:pPr>
        <w:spacing w:line="240" w:lineRule="auto"/>
        <w:contextualSpacing/>
        <w:rPr>
          <w:rFonts w:ascii="Mangal Pro" w:hAnsi="Mangal Pro" w:cs="Mangal Pro"/>
          <w:sz w:val="22"/>
          <w:szCs w:val="22"/>
        </w:rPr>
      </w:pPr>
      <w:r w:rsidRPr="00D2672B">
        <w:rPr>
          <w:rFonts w:ascii="Mangal Pro" w:hAnsi="Mangal Pro" w:cs="Mangal Pro"/>
          <w:sz w:val="22"/>
          <w:szCs w:val="22"/>
        </w:rPr>
        <w:t xml:space="preserve">San Bernardino Valley College (SBVC) has established dedicated task forces for both its Hispanic Serving Institution (HSI) and Black Serving Institution (BSI) designations to advance equity and student success. These task forces are charged with developing and </w:t>
      </w:r>
      <w:r w:rsidRPr="00D2672B">
        <w:rPr>
          <w:rFonts w:ascii="Mangal Pro" w:hAnsi="Mangal Pro" w:cs="Mangal Pro"/>
          <w:sz w:val="22"/>
          <w:szCs w:val="22"/>
        </w:rPr>
        <w:lastRenderedPageBreak/>
        <w:t>expanding culturally responsive programming, fostering institutional growth, and promoting professional development opportunities for faculty and staff. Through workshops, trainings, and intentional initiatives, SBVC ensures that students receive comprehensive support tailored to their diverse needs. This collaborative approach strengthens the college’s capacity to deliver the highest quality educational experience while honoring its commitment to access, equity, and excellence.</w:t>
      </w:r>
    </w:p>
    <w:p w14:paraId="794E340B" w14:textId="77777777" w:rsidR="00FF0D77" w:rsidRDefault="00FF0D77">
      <w:pPr>
        <w:rPr>
          <w:rFonts w:ascii="Mangal Pro" w:hAnsi="Mangal Pro" w:cs="Mangal Pro"/>
          <w:b/>
          <w:bCs/>
          <w:sz w:val="22"/>
          <w:szCs w:val="22"/>
        </w:rPr>
      </w:pPr>
    </w:p>
    <w:p w14:paraId="1D755F51" w14:textId="580D1600" w:rsidR="00AF39EE" w:rsidRDefault="00AF39EE">
      <w:pPr>
        <w:rPr>
          <w:rFonts w:ascii="Mangal Pro" w:hAnsi="Mangal Pro" w:cs="Mangal Pro"/>
          <w:b/>
          <w:bCs/>
          <w:sz w:val="22"/>
          <w:szCs w:val="22"/>
        </w:rPr>
      </w:pPr>
      <w:r>
        <w:rPr>
          <w:rFonts w:ascii="Mangal Pro" w:hAnsi="Mangal Pro" w:cs="Mangal Pro"/>
          <w:b/>
          <w:bCs/>
          <w:sz w:val="22"/>
          <w:szCs w:val="22"/>
        </w:rPr>
        <w:t>Student Services Leadership in Vision Alignment</w:t>
      </w:r>
    </w:p>
    <w:p w14:paraId="30E5E3E0" w14:textId="00033782" w:rsidR="006E0DAD" w:rsidRPr="006E0DAD" w:rsidRDefault="006E0DAD" w:rsidP="006E0DAD">
      <w:pPr>
        <w:spacing w:line="240" w:lineRule="auto"/>
        <w:contextualSpacing/>
        <w:rPr>
          <w:rFonts w:ascii="Mangal Pro" w:hAnsi="Mangal Pro" w:cs="Mangal Pro"/>
          <w:sz w:val="22"/>
          <w:szCs w:val="22"/>
        </w:rPr>
      </w:pPr>
      <w:r w:rsidRPr="006E0DAD">
        <w:rPr>
          <w:rFonts w:ascii="Mangal Pro" w:hAnsi="Mangal Pro" w:cs="Mangal Pro"/>
          <w:sz w:val="22"/>
          <w:szCs w:val="22"/>
        </w:rPr>
        <w:t>In the past, our college operated with over a hundred goals spread across various departments and plans. While each goal had merit, the sheer volume made it difficult to prioritize, align resources, and demonstrate progress. As a result, we recognized that to truly serve our students and community, we need a more focused and strategic approach that would unify our efforts, maximize our resources, and ensure accountability.</w:t>
      </w:r>
    </w:p>
    <w:p w14:paraId="5923E457" w14:textId="50C1ABBA" w:rsidR="00A055BE" w:rsidRPr="006E0DAD" w:rsidRDefault="005B15A0" w:rsidP="006E0DAD">
      <w:pPr>
        <w:spacing w:line="240" w:lineRule="auto"/>
        <w:contextualSpacing/>
        <w:rPr>
          <w:rFonts w:ascii="Mangal Pro" w:hAnsi="Mangal Pro" w:cs="Mangal Pro"/>
          <w:sz w:val="22"/>
          <w:szCs w:val="22"/>
        </w:rPr>
      </w:pPr>
      <w:r w:rsidRPr="006E0DAD">
        <w:rPr>
          <w:rFonts w:ascii="Mangal Pro" w:hAnsi="Mangal Pro" w:cs="Mangal Pro"/>
          <w:sz w:val="22"/>
          <w:szCs w:val="22"/>
        </w:rPr>
        <w:t>The “Valley Up! Initiative 2025-2030” strives to advance the mission of Valley College through intentional strategic planning that leverages existing planning documents and sets the vision as Valley College enters its second century.</w:t>
      </w:r>
    </w:p>
    <w:p w14:paraId="6A76EFAF" w14:textId="77777777" w:rsidR="006E0DAD" w:rsidRDefault="00AF39EE" w:rsidP="006E0DAD">
      <w:pPr>
        <w:spacing w:line="240" w:lineRule="auto"/>
        <w:contextualSpacing/>
        <w:rPr>
          <w:rFonts w:ascii="Mangal Pro" w:hAnsi="Mangal Pro" w:cs="Mangal Pro"/>
          <w:sz w:val="22"/>
          <w:szCs w:val="22"/>
        </w:rPr>
      </w:pPr>
      <w:r w:rsidRPr="006E0DAD">
        <w:rPr>
          <w:rFonts w:ascii="Mangal Pro" w:hAnsi="Mangal Pro" w:cs="Mangal Pro"/>
          <w:sz w:val="22"/>
          <w:szCs w:val="22"/>
        </w:rPr>
        <w:t>The Valley Up! Initiative 2025-2030 refines our strategic approach and sets a clear direction for the college by focusing on one guiding principle</w:t>
      </w:r>
      <w:r w:rsidR="006E0DAD">
        <w:rPr>
          <w:rFonts w:ascii="Mangal Pro" w:hAnsi="Mangal Pro" w:cs="Mangal Pro"/>
          <w:sz w:val="22"/>
          <w:szCs w:val="22"/>
        </w:rPr>
        <w:t xml:space="preserve">, </w:t>
      </w:r>
      <w:r w:rsidRPr="006E0DAD">
        <w:rPr>
          <w:rFonts w:ascii="Mangal Pro" w:hAnsi="Mangal Pro" w:cs="Mangal Pro"/>
          <w:sz w:val="22"/>
          <w:szCs w:val="22"/>
        </w:rPr>
        <w:t xml:space="preserve">Advancing Community. Our guiding principle is supported by four college priorities: </w:t>
      </w:r>
    </w:p>
    <w:p w14:paraId="7CC718BC" w14:textId="2E91619F" w:rsidR="006E0DAD" w:rsidRDefault="006E0DAD" w:rsidP="006E0DAD">
      <w:pPr>
        <w:spacing w:line="240" w:lineRule="auto"/>
        <w:contextualSpacing/>
        <w:rPr>
          <w:rFonts w:ascii="Mangal Pro" w:hAnsi="Mangal Pro" w:cs="Mangal Pro"/>
          <w:sz w:val="22"/>
          <w:szCs w:val="22"/>
        </w:rPr>
      </w:pPr>
      <w:r>
        <w:rPr>
          <w:rFonts w:ascii="Mangal Pro" w:hAnsi="Mangal Pro" w:cs="Mangal Pro"/>
          <w:sz w:val="22"/>
          <w:szCs w:val="22"/>
        </w:rPr>
        <w:tab/>
      </w:r>
      <w:r w:rsidR="00AF39EE" w:rsidRPr="006E0DAD">
        <w:rPr>
          <w:rFonts w:ascii="Mangal Pro" w:hAnsi="Mangal Pro" w:cs="Mangal Pro"/>
          <w:sz w:val="22"/>
          <w:szCs w:val="22"/>
        </w:rPr>
        <w:t xml:space="preserve">1. Career and Transfer </w:t>
      </w:r>
    </w:p>
    <w:p w14:paraId="73814A6A" w14:textId="1A5ACE0E" w:rsidR="006E0DAD" w:rsidRDefault="006E0DAD" w:rsidP="006E0DAD">
      <w:pPr>
        <w:spacing w:line="240" w:lineRule="auto"/>
        <w:contextualSpacing/>
        <w:rPr>
          <w:rFonts w:ascii="Mangal Pro" w:hAnsi="Mangal Pro" w:cs="Mangal Pro"/>
          <w:sz w:val="22"/>
          <w:szCs w:val="22"/>
        </w:rPr>
      </w:pPr>
      <w:r>
        <w:rPr>
          <w:rFonts w:ascii="Mangal Pro" w:hAnsi="Mangal Pro" w:cs="Mangal Pro"/>
          <w:sz w:val="22"/>
          <w:szCs w:val="22"/>
        </w:rPr>
        <w:tab/>
      </w:r>
      <w:r w:rsidR="00AF39EE" w:rsidRPr="006E0DAD">
        <w:rPr>
          <w:rFonts w:ascii="Mangal Pro" w:hAnsi="Mangal Pro" w:cs="Mangal Pro"/>
          <w:sz w:val="22"/>
          <w:szCs w:val="22"/>
        </w:rPr>
        <w:t xml:space="preserve">2. Health &amp; Safety </w:t>
      </w:r>
    </w:p>
    <w:p w14:paraId="1862CB59" w14:textId="289FB8E4" w:rsidR="006E0DAD" w:rsidRDefault="006E0DAD" w:rsidP="006E0DAD">
      <w:pPr>
        <w:spacing w:line="240" w:lineRule="auto"/>
        <w:contextualSpacing/>
        <w:rPr>
          <w:rFonts w:ascii="Mangal Pro" w:hAnsi="Mangal Pro" w:cs="Mangal Pro"/>
          <w:sz w:val="22"/>
          <w:szCs w:val="22"/>
        </w:rPr>
      </w:pPr>
      <w:r>
        <w:rPr>
          <w:rFonts w:ascii="Mangal Pro" w:hAnsi="Mangal Pro" w:cs="Mangal Pro"/>
          <w:sz w:val="22"/>
          <w:szCs w:val="22"/>
        </w:rPr>
        <w:tab/>
      </w:r>
      <w:r w:rsidR="00AF39EE" w:rsidRPr="006E0DAD">
        <w:rPr>
          <w:rFonts w:ascii="Mangal Pro" w:hAnsi="Mangal Pro" w:cs="Mangal Pro"/>
          <w:sz w:val="22"/>
          <w:szCs w:val="22"/>
        </w:rPr>
        <w:t xml:space="preserve">3. Boldly Student-Centered </w:t>
      </w:r>
    </w:p>
    <w:p w14:paraId="1E0747C3" w14:textId="1284D973" w:rsidR="00AF39EE" w:rsidRDefault="006E0DAD" w:rsidP="006E0DAD">
      <w:pPr>
        <w:spacing w:line="240" w:lineRule="auto"/>
        <w:contextualSpacing/>
        <w:rPr>
          <w:rFonts w:ascii="Mangal Pro" w:hAnsi="Mangal Pro" w:cs="Mangal Pro"/>
          <w:sz w:val="22"/>
          <w:szCs w:val="22"/>
        </w:rPr>
      </w:pPr>
      <w:r>
        <w:rPr>
          <w:rFonts w:ascii="Mangal Pro" w:hAnsi="Mangal Pro" w:cs="Mangal Pro"/>
          <w:sz w:val="22"/>
          <w:szCs w:val="22"/>
        </w:rPr>
        <w:tab/>
      </w:r>
      <w:r w:rsidR="00AF39EE" w:rsidRPr="006E0DAD">
        <w:rPr>
          <w:rFonts w:ascii="Mangal Pro" w:hAnsi="Mangal Pro" w:cs="Mangal Pro"/>
          <w:sz w:val="22"/>
          <w:szCs w:val="22"/>
        </w:rPr>
        <w:t>4. Opportunities for All</w:t>
      </w:r>
    </w:p>
    <w:p w14:paraId="52A6A895" w14:textId="77777777" w:rsidR="00291774" w:rsidRDefault="00291774" w:rsidP="006E0DAD">
      <w:pPr>
        <w:spacing w:line="240" w:lineRule="auto"/>
        <w:contextualSpacing/>
        <w:rPr>
          <w:rFonts w:ascii="Mangal Pro" w:hAnsi="Mangal Pro" w:cs="Mangal Pro"/>
          <w:sz w:val="22"/>
          <w:szCs w:val="22"/>
        </w:rPr>
      </w:pPr>
    </w:p>
    <w:p w14:paraId="7732D522" w14:textId="6F6D25CA" w:rsidR="00291774" w:rsidRDefault="00291774" w:rsidP="006E0DAD">
      <w:pPr>
        <w:spacing w:line="240" w:lineRule="auto"/>
        <w:contextualSpacing/>
        <w:rPr>
          <w:rFonts w:ascii="Mangal Pro" w:hAnsi="Mangal Pro" w:cs="Mangal Pro"/>
          <w:sz w:val="22"/>
          <w:szCs w:val="22"/>
        </w:rPr>
      </w:pPr>
      <w:r>
        <w:rPr>
          <w:rFonts w:ascii="Mangal Pro" w:hAnsi="Mangal Pro" w:cs="Mangal Pro"/>
          <w:sz w:val="22"/>
          <w:szCs w:val="22"/>
        </w:rPr>
        <w:t>Student Equity Budgeting 2025-2028</w:t>
      </w:r>
    </w:p>
    <w:p w14:paraId="0FF1A347" w14:textId="0219B92D" w:rsidR="00291774" w:rsidRDefault="00291774" w:rsidP="006E0DAD">
      <w:pPr>
        <w:spacing w:line="240" w:lineRule="auto"/>
        <w:contextualSpacing/>
        <w:rPr>
          <w:rFonts w:ascii="Mangal Pro" w:hAnsi="Mangal Pro" w:cs="Mangal Pro"/>
          <w:sz w:val="22"/>
          <w:szCs w:val="22"/>
        </w:rPr>
      </w:pPr>
      <w:r>
        <w:rPr>
          <w:rFonts w:ascii="Mangal Pro" w:hAnsi="Mangal Pro" w:cs="Mangal Pro"/>
          <w:sz w:val="22"/>
          <w:szCs w:val="22"/>
        </w:rPr>
        <w:t>The California Community College</w:t>
      </w:r>
      <w:r w:rsidR="00223A98">
        <w:rPr>
          <w:rFonts w:ascii="Mangal Pro" w:hAnsi="Mangal Pro" w:cs="Mangal Pro"/>
          <w:sz w:val="22"/>
          <w:szCs w:val="22"/>
        </w:rPr>
        <w:t>s Chancellor’s Office (CCCCO) and Legislature Senate Bill (SB) (1456 &amp; SB 860) have provided funding to increase student success and equity in community colleges. SBVC has used the funding in a variety of ways including the funding of positions, professional development, programming, and services to meet the requirements of the legis</w:t>
      </w:r>
      <w:r w:rsidR="00CA2474">
        <w:rPr>
          <w:rFonts w:ascii="Mangal Pro" w:hAnsi="Mangal Pro" w:cs="Mangal Pro"/>
          <w:sz w:val="22"/>
          <w:szCs w:val="22"/>
        </w:rPr>
        <w:t xml:space="preserve">lature, increase student success, and close equity gaps. </w:t>
      </w:r>
    </w:p>
    <w:p w14:paraId="711EE6A6" w14:textId="77777777" w:rsidR="00B15921" w:rsidRDefault="00B15921" w:rsidP="006E0DAD">
      <w:pPr>
        <w:spacing w:line="240" w:lineRule="auto"/>
        <w:contextualSpacing/>
        <w:rPr>
          <w:rFonts w:ascii="Mangal Pro" w:hAnsi="Mangal Pro" w:cs="Mangal Pro"/>
          <w:sz w:val="22"/>
          <w:szCs w:val="22"/>
        </w:rPr>
      </w:pPr>
    </w:p>
    <w:p w14:paraId="52FC79EB" w14:textId="239929B9" w:rsidR="00B15921" w:rsidRDefault="00B15921" w:rsidP="006E0DAD">
      <w:pPr>
        <w:spacing w:line="240" w:lineRule="auto"/>
        <w:contextualSpacing/>
        <w:rPr>
          <w:rFonts w:ascii="Mangal Pro" w:hAnsi="Mangal Pro" w:cs="Mangal Pro"/>
          <w:sz w:val="22"/>
          <w:szCs w:val="22"/>
        </w:rPr>
      </w:pPr>
      <w:r>
        <w:rPr>
          <w:rFonts w:ascii="Mangal Pro" w:hAnsi="Mangal Pro" w:cs="Mangal Pro"/>
          <w:sz w:val="22"/>
          <w:szCs w:val="22"/>
        </w:rPr>
        <w:lastRenderedPageBreak/>
        <w:t>Student Equity and Achievement (SEA) Allocation</w:t>
      </w:r>
    </w:p>
    <w:p w14:paraId="1B5DDEF5" w14:textId="77777777" w:rsidR="00B15921" w:rsidRDefault="00B15921" w:rsidP="006E0DAD">
      <w:pPr>
        <w:spacing w:line="240" w:lineRule="auto"/>
        <w:contextualSpacing/>
        <w:rPr>
          <w:rFonts w:ascii="Mangal Pro" w:hAnsi="Mangal Pro" w:cs="Mangal Pro"/>
          <w:sz w:val="22"/>
          <w:szCs w:val="22"/>
        </w:rPr>
      </w:pPr>
    </w:p>
    <w:tbl>
      <w:tblPr>
        <w:tblStyle w:val="TableGrid"/>
        <w:tblW w:w="0" w:type="auto"/>
        <w:tblLook w:val="04A0" w:firstRow="1" w:lastRow="0" w:firstColumn="1" w:lastColumn="0" w:noHBand="0" w:noVBand="1"/>
      </w:tblPr>
      <w:tblGrid>
        <w:gridCol w:w="4675"/>
        <w:gridCol w:w="4675"/>
      </w:tblGrid>
      <w:tr w:rsidR="00D64C9A" w14:paraId="73A33690" w14:textId="77777777" w:rsidTr="00D64C9A">
        <w:tc>
          <w:tcPr>
            <w:tcW w:w="4675" w:type="dxa"/>
          </w:tcPr>
          <w:p w14:paraId="4B4164CE" w14:textId="31A3D32E" w:rsidR="00D64C9A" w:rsidRDefault="00B15921" w:rsidP="006E0DAD">
            <w:pPr>
              <w:contextualSpacing/>
              <w:rPr>
                <w:rFonts w:ascii="Mangal Pro" w:hAnsi="Mangal Pro" w:cs="Mangal Pro"/>
                <w:sz w:val="22"/>
                <w:szCs w:val="22"/>
              </w:rPr>
            </w:pPr>
            <w:r>
              <w:rPr>
                <w:rFonts w:ascii="Mangal Pro" w:hAnsi="Mangal Pro" w:cs="Mangal Pro"/>
                <w:sz w:val="22"/>
                <w:szCs w:val="22"/>
              </w:rPr>
              <w:t>Expenditure Type</w:t>
            </w:r>
          </w:p>
        </w:tc>
        <w:tc>
          <w:tcPr>
            <w:tcW w:w="4675" w:type="dxa"/>
          </w:tcPr>
          <w:p w14:paraId="05CFECED" w14:textId="77777777" w:rsidR="00D64C9A" w:rsidRDefault="00B15921" w:rsidP="006E0DAD">
            <w:pPr>
              <w:contextualSpacing/>
              <w:rPr>
                <w:rFonts w:ascii="Mangal Pro" w:hAnsi="Mangal Pro" w:cs="Mangal Pro"/>
                <w:sz w:val="22"/>
                <w:szCs w:val="22"/>
              </w:rPr>
            </w:pPr>
            <w:r>
              <w:rPr>
                <w:rFonts w:ascii="Mangal Pro" w:hAnsi="Mangal Pro" w:cs="Mangal Pro"/>
                <w:sz w:val="22"/>
                <w:szCs w:val="22"/>
              </w:rPr>
              <w:t>Amount</w:t>
            </w:r>
          </w:p>
          <w:p w14:paraId="26C52182" w14:textId="31AF6630" w:rsidR="00B15921" w:rsidRDefault="00B15921" w:rsidP="006E0DAD">
            <w:pPr>
              <w:contextualSpacing/>
              <w:rPr>
                <w:rFonts w:ascii="Mangal Pro" w:hAnsi="Mangal Pro" w:cs="Mangal Pro"/>
                <w:sz w:val="22"/>
                <w:szCs w:val="22"/>
              </w:rPr>
            </w:pPr>
          </w:p>
        </w:tc>
      </w:tr>
      <w:tr w:rsidR="00D64C9A" w14:paraId="661A0363" w14:textId="77777777" w:rsidTr="00D64C9A">
        <w:tc>
          <w:tcPr>
            <w:tcW w:w="4675" w:type="dxa"/>
          </w:tcPr>
          <w:p w14:paraId="5771374F" w14:textId="211CF661" w:rsidR="00D64C9A" w:rsidRDefault="00B15921" w:rsidP="006E0DAD">
            <w:pPr>
              <w:contextualSpacing/>
              <w:rPr>
                <w:rFonts w:ascii="Mangal Pro" w:hAnsi="Mangal Pro" w:cs="Mangal Pro"/>
                <w:sz w:val="22"/>
                <w:szCs w:val="22"/>
              </w:rPr>
            </w:pPr>
            <w:r>
              <w:rPr>
                <w:rFonts w:ascii="Mangal Pro" w:hAnsi="Mangal Pro" w:cs="Mangal Pro"/>
                <w:sz w:val="22"/>
                <w:szCs w:val="22"/>
              </w:rPr>
              <w:t xml:space="preserve">1000 – Management, Instruction Salary </w:t>
            </w:r>
          </w:p>
        </w:tc>
        <w:tc>
          <w:tcPr>
            <w:tcW w:w="4675" w:type="dxa"/>
          </w:tcPr>
          <w:p w14:paraId="2D63BB6D" w14:textId="7228ABE8" w:rsidR="00D64C9A" w:rsidRDefault="00B15921" w:rsidP="006E0DAD">
            <w:pPr>
              <w:contextualSpacing/>
              <w:rPr>
                <w:rFonts w:ascii="Mangal Pro" w:hAnsi="Mangal Pro" w:cs="Mangal Pro"/>
                <w:sz w:val="22"/>
                <w:szCs w:val="22"/>
              </w:rPr>
            </w:pPr>
            <w:r>
              <w:rPr>
                <w:rFonts w:ascii="Mangal Pro" w:hAnsi="Mangal Pro" w:cs="Mangal Pro"/>
                <w:sz w:val="22"/>
                <w:szCs w:val="22"/>
              </w:rPr>
              <w:t>$</w:t>
            </w:r>
            <w:r w:rsidR="00477FA3">
              <w:rPr>
                <w:rFonts w:ascii="Mangal Pro" w:hAnsi="Mangal Pro" w:cs="Mangal Pro"/>
                <w:sz w:val="22"/>
                <w:szCs w:val="22"/>
              </w:rPr>
              <w:t>2,768,389.00</w:t>
            </w:r>
          </w:p>
        </w:tc>
      </w:tr>
      <w:tr w:rsidR="00D64C9A" w14:paraId="6C2A3A96" w14:textId="77777777" w:rsidTr="00D64C9A">
        <w:tc>
          <w:tcPr>
            <w:tcW w:w="4675" w:type="dxa"/>
          </w:tcPr>
          <w:p w14:paraId="0F00CF0D" w14:textId="064E9047" w:rsidR="00D64C9A" w:rsidRDefault="00477FA3" w:rsidP="006E0DAD">
            <w:pPr>
              <w:contextualSpacing/>
              <w:rPr>
                <w:rFonts w:ascii="Mangal Pro" w:hAnsi="Mangal Pro" w:cs="Mangal Pro"/>
                <w:sz w:val="22"/>
                <w:szCs w:val="22"/>
              </w:rPr>
            </w:pPr>
            <w:r>
              <w:rPr>
                <w:rFonts w:ascii="Mangal Pro" w:hAnsi="Mangal Pro" w:cs="Mangal Pro"/>
                <w:sz w:val="22"/>
                <w:szCs w:val="22"/>
              </w:rPr>
              <w:t>2000 – Non Instructional Salaries</w:t>
            </w:r>
          </w:p>
        </w:tc>
        <w:tc>
          <w:tcPr>
            <w:tcW w:w="4675" w:type="dxa"/>
          </w:tcPr>
          <w:p w14:paraId="2D13D049" w14:textId="03C9994A" w:rsidR="00D64C9A" w:rsidRDefault="00477FA3" w:rsidP="006E0DAD">
            <w:pPr>
              <w:contextualSpacing/>
              <w:rPr>
                <w:rFonts w:ascii="Mangal Pro" w:hAnsi="Mangal Pro" w:cs="Mangal Pro"/>
                <w:sz w:val="22"/>
                <w:szCs w:val="22"/>
              </w:rPr>
            </w:pPr>
            <w:r>
              <w:rPr>
                <w:rFonts w:ascii="Mangal Pro" w:hAnsi="Mangal Pro" w:cs="Mangal Pro"/>
                <w:sz w:val="22"/>
                <w:szCs w:val="22"/>
              </w:rPr>
              <w:t>$1,333,181.00</w:t>
            </w:r>
          </w:p>
        </w:tc>
      </w:tr>
      <w:tr w:rsidR="00D64C9A" w14:paraId="5D0DC92A" w14:textId="77777777" w:rsidTr="00D64C9A">
        <w:tc>
          <w:tcPr>
            <w:tcW w:w="4675" w:type="dxa"/>
          </w:tcPr>
          <w:p w14:paraId="2B1683EE" w14:textId="4E4D1F2D" w:rsidR="00D64C9A" w:rsidRDefault="00477FA3" w:rsidP="006E0DAD">
            <w:pPr>
              <w:contextualSpacing/>
              <w:rPr>
                <w:rFonts w:ascii="Mangal Pro" w:hAnsi="Mangal Pro" w:cs="Mangal Pro"/>
                <w:sz w:val="22"/>
                <w:szCs w:val="22"/>
              </w:rPr>
            </w:pPr>
            <w:r>
              <w:rPr>
                <w:rFonts w:ascii="Mangal Pro" w:hAnsi="Mangal Pro" w:cs="Mangal Pro"/>
                <w:sz w:val="22"/>
                <w:szCs w:val="22"/>
              </w:rPr>
              <w:t xml:space="preserve">3000 </w:t>
            </w:r>
            <w:r w:rsidR="00C50600">
              <w:rPr>
                <w:rFonts w:ascii="Mangal Pro" w:hAnsi="Mangal Pro" w:cs="Mangal Pro"/>
                <w:sz w:val="22"/>
                <w:szCs w:val="22"/>
              </w:rPr>
              <w:t>–</w:t>
            </w:r>
            <w:r>
              <w:rPr>
                <w:rFonts w:ascii="Mangal Pro" w:hAnsi="Mangal Pro" w:cs="Mangal Pro"/>
                <w:sz w:val="22"/>
                <w:szCs w:val="22"/>
              </w:rPr>
              <w:t xml:space="preserve"> </w:t>
            </w:r>
            <w:r w:rsidR="00C50600">
              <w:rPr>
                <w:rFonts w:ascii="Mangal Pro" w:hAnsi="Mangal Pro" w:cs="Mangal Pro"/>
                <w:sz w:val="22"/>
                <w:szCs w:val="22"/>
              </w:rPr>
              <w:t>Employee Benefits</w:t>
            </w:r>
          </w:p>
        </w:tc>
        <w:tc>
          <w:tcPr>
            <w:tcW w:w="4675" w:type="dxa"/>
          </w:tcPr>
          <w:p w14:paraId="19D0099F" w14:textId="74D7346C" w:rsidR="00D64C9A" w:rsidRDefault="00C50600" w:rsidP="006E0DAD">
            <w:pPr>
              <w:contextualSpacing/>
              <w:rPr>
                <w:rFonts w:ascii="Mangal Pro" w:hAnsi="Mangal Pro" w:cs="Mangal Pro"/>
                <w:sz w:val="22"/>
                <w:szCs w:val="22"/>
              </w:rPr>
            </w:pPr>
            <w:r>
              <w:rPr>
                <w:rFonts w:ascii="Mangal Pro" w:hAnsi="Mangal Pro" w:cs="Mangal Pro"/>
                <w:sz w:val="22"/>
                <w:szCs w:val="22"/>
              </w:rPr>
              <w:t>$1,233,869.00</w:t>
            </w:r>
          </w:p>
        </w:tc>
      </w:tr>
      <w:tr w:rsidR="00D64C9A" w14:paraId="1A10087B" w14:textId="77777777" w:rsidTr="00D64C9A">
        <w:tc>
          <w:tcPr>
            <w:tcW w:w="4675" w:type="dxa"/>
          </w:tcPr>
          <w:p w14:paraId="74EB3722" w14:textId="1E82EA3D" w:rsidR="00D64C9A" w:rsidRDefault="00C50600" w:rsidP="006E0DAD">
            <w:pPr>
              <w:contextualSpacing/>
              <w:rPr>
                <w:rFonts w:ascii="Mangal Pro" w:hAnsi="Mangal Pro" w:cs="Mangal Pro"/>
                <w:sz w:val="22"/>
                <w:szCs w:val="22"/>
              </w:rPr>
            </w:pPr>
            <w:r>
              <w:rPr>
                <w:rFonts w:ascii="Mangal Pro" w:hAnsi="Mangal Pro" w:cs="Mangal Pro"/>
                <w:sz w:val="22"/>
                <w:szCs w:val="22"/>
              </w:rPr>
              <w:t>4000 – Supplies and Materials</w:t>
            </w:r>
          </w:p>
        </w:tc>
        <w:tc>
          <w:tcPr>
            <w:tcW w:w="4675" w:type="dxa"/>
          </w:tcPr>
          <w:p w14:paraId="7EAEFC3F" w14:textId="366E3765" w:rsidR="00D64C9A" w:rsidRDefault="00C50600" w:rsidP="006E0DAD">
            <w:pPr>
              <w:contextualSpacing/>
              <w:rPr>
                <w:rFonts w:ascii="Mangal Pro" w:hAnsi="Mangal Pro" w:cs="Mangal Pro"/>
                <w:sz w:val="22"/>
                <w:szCs w:val="22"/>
              </w:rPr>
            </w:pPr>
            <w:r>
              <w:rPr>
                <w:rFonts w:ascii="Mangal Pro" w:hAnsi="Mangal Pro" w:cs="Mangal Pro"/>
                <w:sz w:val="22"/>
                <w:szCs w:val="22"/>
              </w:rPr>
              <w:t>$30,835.00</w:t>
            </w:r>
          </w:p>
        </w:tc>
      </w:tr>
      <w:tr w:rsidR="00D64C9A" w14:paraId="67C22DE9" w14:textId="77777777" w:rsidTr="00D64C9A">
        <w:tc>
          <w:tcPr>
            <w:tcW w:w="4675" w:type="dxa"/>
          </w:tcPr>
          <w:p w14:paraId="74221971" w14:textId="73E27064" w:rsidR="00D64C9A" w:rsidRDefault="00C50600" w:rsidP="006E0DAD">
            <w:pPr>
              <w:contextualSpacing/>
              <w:rPr>
                <w:rFonts w:ascii="Mangal Pro" w:hAnsi="Mangal Pro" w:cs="Mangal Pro"/>
                <w:sz w:val="22"/>
                <w:szCs w:val="22"/>
              </w:rPr>
            </w:pPr>
            <w:r>
              <w:rPr>
                <w:rFonts w:ascii="Mangal Pro" w:hAnsi="Mangal Pro" w:cs="Mangal Pro"/>
                <w:sz w:val="22"/>
                <w:szCs w:val="22"/>
              </w:rPr>
              <w:t xml:space="preserve">5000 </w:t>
            </w:r>
            <w:r w:rsidR="007468FF">
              <w:rPr>
                <w:rFonts w:ascii="Mangal Pro" w:hAnsi="Mangal Pro" w:cs="Mangal Pro"/>
                <w:sz w:val="22"/>
                <w:szCs w:val="22"/>
              </w:rPr>
              <w:t>–</w:t>
            </w:r>
            <w:r>
              <w:rPr>
                <w:rFonts w:ascii="Mangal Pro" w:hAnsi="Mangal Pro" w:cs="Mangal Pro"/>
                <w:sz w:val="22"/>
                <w:szCs w:val="22"/>
              </w:rPr>
              <w:t xml:space="preserve"> </w:t>
            </w:r>
            <w:r w:rsidR="007468FF">
              <w:rPr>
                <w:rFonts w:ascii="Mangal Pro" w:hAnsi="Mangal Pro" w:cs="Mangal Pro"/>
                <w:sz w:val="22"/>
                <w:szCs w:val="22"/>
              </w:rPr>
              <w:t>Other Operating Expenses &amp; Services (conferences for studen</w:t>
            </w:r>
            <w:r w:rsidR="001067BF">
              <w:rPr>
                <w:rFonts w:ascii="Mangal Pro" w:hAnsi="Mangal Pro" w:cs="Mangal Pro"/>
                <w:sz w:val="22"/>
                <w:szCs w:val="22"/>
              </w:rPr>
              <w:t>ts &amp; staff)</w:t>
            </w:r>
          </w:p>
        </w:tc>
        <w:tc>
          <w:tcPr>
            <w:tcW w:w="4675" w:type="dxa"/>
          </w:tcPr>
          <w:p w14:paraId="5B36FE2F" w14:textId="1926F2F7" w:rsidR="00D64C9A" w:rsidRDefault="001067BF" w:rsidP="006E0DAD">
            <w:pPr>
              <w:contextualSpacing/>
              <w:rPr>
                <w:rFonts w:ascii="Mangal Pro" w:hAnsi="Mangal Pro" w:cs="Mangal Pro"/>
                <w:sz w:val="22"/>
                <w:szCs w:val="22"/>
              </w:rPr>
            </w:pPr>
            <w:r>
              <w:rPr>
                <w:rFonts w:ascii="Mangal Pro" w:hAnsi="Mangal Pro" w:cs="Mangal Pro"/>
                <w:sz w:val="22"/>
                <w:szCs w:val="22"/>
              </w:rPr>
              <w:t>$200,281.00</w:t>
            </w:r>
          </w:p>
        </w:tc>
      </w:tr>
      <w:tr w:rsidR="00D64C9A" w14:paraId="69496A47" w14:textId="77777777" w:rsidTr="00D64C9A">
        <w:tc>
          <w:tcPr>
            <w:tcW w:w="4675" w:type="dxa"/>
          </w:tcPr>
          <w:p w14:paraId="1F681F82" w14:textId="4845438E" w:rsidR="00D64C9A" w:rsidRDefault="001067BF" w:rsidP="006E0DAD">
            <w:pPr>
              <w:contextualSpacing/>
              <w:rPr>
                <w:rFonts w:ascii="Mangal Pro" w:hAnsi="Mangal Pro" w:cs="Mangal Pro"/>
                <w:sz w:val="22"/>
                <w:szCs w:val="22"/>
              </w:rPr>
            </w:pPr>
            <w:r>
              <w:rPr>
                <w:rFonts w:ascii="Mangal Pro" w:hAnsi="Mangal Pro" w:cs="Mangal Pro"/>
                <w:sz w:val="22"/>
                <w:szCs w:val="22"/>
              </w:rPr>
              <w:t>6000 – equipment – technology</w:t>
            </w:r>
          </w:p>
        </w:tc>
        <w:tc>
          <w:tcPr>
            <w:tcW w:w="4675" w:type="dxa"/>
          </w:tcPr>
          <w:p w14:paraId="788D8C39" w14:textId="2B36FB1F" w:rsidR="00D64C9A" w:rsidRDefault="001067BF" w:rsidP="006E0DAD">
            <w:pPr>
              <w:contextualSpacing/>
              <w:rPr>
                <w:rFonts w:ascii="Mangal Pro" w:hAnsi="Mangal Pro" w:cs="Mangal Pro"/>
                <w:sz w:val="22"/>
                <w:szCs w:val="22"/>
              </w:rPr>
            </w:pPr>
            <w:r>
              <w:rPr>
                <w:rFonts w:ascii="Mangal Pro" w:hAnsi="Mangal Pro" w:cs="Mangal Pro"/>
                <w:sz w:val="22"/>
                <w:szCs w:val="22"/>
              </w:rPr>
              <w:t>$20,003.00</w:t>
            </w:r>
          </w:p>
        </w:tc>
      </w:tr>
      <w:tr w:rsidR="00D64C9A" w14:paraId="0F775F47" w14:textId="77777777" w:rsidTr="00D64C9A">
        <w:tc>
          <w:tcPr>
            <w:tcW w:w="4675" w:type="dxa"/>
          </w:tcPr>
          <w:p w14:paraId="407F247F" w14:textId="40E96EE0" w:rsidR="00D64C9A" w:rsidRDefault="001067BF" w:rsidP="006E0DAD">
            <w:pPr>
              <w:contextualSpacing/>
              <w:rPr>
                <w:rFonts w:ascii="Mangal Pro" w:hAnsi="Mangal Pro" w:cs="Mangal Pro"/>
                <w:sz w:val="22"/>
                <w:szCs w:val="22"/>
              </w:rPr>
            </w:pPr>
            <w:r>
              <w:rPr>
                <w:rFonts w:ascii="Mangal Pro" w:hAnsi="Mangal Pro" w:cs="Mangal Pro"/>
                <w:sz w:val="22"/>
                <w:szCs w:val="22"/>
              </w:rPr>
              <w:t>7000 – other student aid (parking permits, textbooks)</w:t>
            </w:r>
          </w:p>
        </w:tc>
        <w:tc>
          <w:tcPr>
            <w:tcW w:w="4675" w:type="dxa"/>
          </w:tcPr>
          <w:p w14:paraId="68A7FBE5" w14:textId="39DF129A" w:rsidR="00D64C9A" w:rsidRDefault="001067BF" w:rsidP="006E0DAD">
            <w:pPr>
              <w:contextualSpacing/>
              <w:rPr>
                <w:rFonts w:ascii="Mangal Pro" w:hAnsi="Mangal Pro" w:cs="Mangal Pro"/>
                <w:sz w:val="22"/>
                <w:szCs w:val="22"/>
              </w:rPr>
            </w:pPr>
            <w:r>
              <w:rPr>
                <w:rFonts w:ascii="Mangal Pro" w:hAnsi="Mangal Pro" w:cs="Mangal Pro"/>
                <w:sz w:val="22"/>
                <w:szCs w:val="22"/>
              </w:rPr>
              <w:t>$37,178.00</w:t>
            </w:r>
          </w:p>
        </w:tc>
      </w:tr>
      <w:tr w:rsidR="00D64C9A" w14:paraId="5D4E2C06" w14:textId="77777777" w:rsidTr="00D64C9A">
        <w:tc>
          <w:tcPr>
            <w:tcW w:w="4675" w:type="dxa"/>
          </w:tcPr>
          <w:p w14:paraId="718EED86" w14:textId="565D32D8" w:rsidR="00D64C9A" w:rsidRDefault="001067BF" w:rsidP="006E0DAD">
            <w:pPr>
              <w:contextualSpacing/>
              <w:rPr>
                <w:rFonts w:ascii="Mangal Pro" w:hAnsi="Mangal Pro" w:cs="Mangal Pro"/>
                <w:sz w:val="22"/>
                <w:szCs w:val="22"/>
              </w:rPr>
            </w:pPr>
            <w:r>
              <w:rPr>
                <w:rFonts w:ascii="Mangal Pro" w:hAnsi="Mangal Pro" w:cs="Mangal Pro"/>
                <w:sz w:val="22"/>
                <w:szCs w:val="22"/>
              </w:rPr>
              <w:t>Total allocation</w:t>
            </w:r>
          </w:p>
        </w:tc>
        <w:tc>
          <w:tcPr>
            <w:tcW w:w="4675" w:type="dxa"/>
          </w:tcPr>
          <w:p w14:paraId="133B1981" w14:textId="7A2E1D54" w:rsidR="00D64C9A" w:rsidRDefault="001067BF" w:rsidP="006E0DAD">
            <w:pPr>
              <w:contextualSpacing/>
              <w:rPr>
                <w:rFonts w:ascii="Mangal Pro" w:hAnsi="Mangal Pro" w:cs="Mangal Pro"/>
                <w:sz w:val="22"/>
                <w:szCs w:val="22"/>
              </w:rPr>
            </w:pPr>
            <w:r>
              <w:rPr>
                <w:rFonts w:ascii="Mangal Pro" w:hAnsi="Mangal Pro" w:cs="Mangal Pro"/>
                <w:sz w:val="22"/>
                <w:szCs w:val="22"/>
              </w:rPr>
              <w:t>$5,623,736.00</w:t>
            </w:r>
          </w:p>
        </w:tc>
      </w:tr>
    </w:tbl>
    <w:p w14:paraId="7CAA76C4" w14:textId="77777777" w:rsidR="00CA2474" w:rsidRPr="006E0DAD" w:rsidRDefault="00CA2474" w:rsidP="006E0DAD">
      <w:pPr>
        <w:spacing w:line="240" w:lineRule="auto"/>
        <w:contextualSpacing/>
        <w:rPr>
          <w:rFonts w:ascii="Mangal Pro" w:hAnsi="Mangal Pro" w:cs="Mangal Pro"/>
          <w:sz w:val="22"/>
          <w:szCs w:val="22"/>
        </w:rPr>
      </w:pPr>
    </w:p>
    <w:p w14:paraId="66DB5E00" w14:textId="20235E81" w:rsidR="00A055BE" w:rsidRDefault="00671F03">
      <w:pPr>
        <w:rPr>
          <w:rFonts w:ascii="Mangal Pro" w:hAnsi="Mangal Pro" w:cs="Mangal Pro"/>
          <w:b/>
          <w:bCs/>
          <w:sz w:val="22"/>
          <w:szCs w:val="22"/>
        </w:rPr>
      </w:pPr>
      <w:r>
        <w:rPr>
          <w:rFonts w:ascii="Mangal Pro" w:hAnsi="Mangal Pro" w:cs="Mangal Pro"/>
          <w:b/>
          <w:bCs/>
          <w:sz w:val="22"/>
          <w:szCs w:val="22"/>
        </w:rPr>
        <w:t>Evidence of Progress Towards Equity Goals</w:t>
      </w:r>
    </w:p>
    <w:p w14:paraId="32A9FF2C" w14:textId="4D6D0475" w:rsidR="00671F03" w:rsidRPr="00903772" w:rsidRDefault="00671F03" w:rsidP="00903772">
      <w:pPr>
        <w:spacing w:line="240" w:lineRule="auto"/>
        <w:contextualSpacing/>
        <w:rPr>
          <w:rFonts w:ascii="Mangal Pro" w:hAnsi="Mangal Pro" w:cs="Mangal Pro"/>
          <w:sz w:val="22"/>
          <w:szCs w:val="22"/>
        </w:rPr>
      </w:pPr>
      <w:r w:rsidRPr="00903772">
        <w:rPr>
          <w:rFonts w:ascii="Mangal Pro" w:hAnsi="Mangal Pro" w:cs="Mangal Pro"/>
          <w:sz w:val="22"/>
          <w:szCs w:val="22"/>
        </w:rPr>
        <w:t xml:space="preserve">Based on the student metrics SBVC has closed the equity gaps in two of the three metrics. We closed the </w:t>
      </w:r>
      <w:r w:rsidR="000B41EE" w:rsidRPr="00903772">
        <w:rPr>
          <w:rFonts w:ascii="Mangal Pro" w:hAnsi="Mangal Pro" w:cs="Mangal Pro"/>
          <w:sz w:val="22"/>
          <w:szCs w:val="22"/>
        </w:rPr>
        <w:t>Successful</w:t>
      </w:r>
      <w:r w:rsidRPr="00903772">
        <w:rPr>
          <w:rFonts w:ascii="Mangal Pro" w:hAnsi="Mangal Pro" w:cs="Mangal Pro"/>
          <w:sz w:val="22"/>
          <w:szCs w:val="22"/>
        </w:rPr>
        <w:t xml:space="preserve"> Enrollment and </w:t>
      </w:r>
      <w:r w:rsidR="00D15EEC" w:rsidRPr="00903772">
        <w:rPr>
          <w:rFonts w:ascii="Mangal Pro" w:hAnsi="Mangal Pro" w:cs="Mangal Pro"/>
          <w:sz w:val="22"/>
          <w:szCs w:val="22"/>
        </w:rPr>
        <w:t xml:space="preserve">Transfer Level Math and English completion. We are still observing </w:t>
      </w:r>
      <w:r w:rsidR="009874DD" w:rsidRPr="00903772">
        <w:rPr>
          <w:rFonts w:ascii="Mangal Pro" w:hAnsi="Mangal Pro" w:cs="Mangal Pro"/>
          <w:sz w:val="22"/>
          <w:szCs w:val="22"/>
        </w:rPr>
        <w:t xml:space="preserve">an </w:t>
      </w:r>
      <w:r w:rsidR="000B41EE" w:rsidRPr="00903772">
        <w:rPr>
          <w:rFonts w:ascii="Mangal Pro" w:hAnsi="Mangal Pro" w:cs="Mangal Pro"/>
          <w:sz w:val="22"/>
          <w:szCs w:val="22"/>
        </w:rPr>
        <w:t xml:space="preserve">disproportionate impact in the other three metrics. </w:t>
      </w:r>
    </w:p>
    <w:p w14:paraId="358A4966" w14:textId="77777777" w:rsidR="00A055BE" w:rsidRDefault="00A055BE">
      <w:pPr>
        <w:rPr>
          <w:rFonts w:ascii="Mangal Pro" w:hAnsi="Mangal Pro" w:cs="Mangal Pro"/>
          <w:b/>
          <w:bCs/>
          <w:sz w:val="22"/>
          <w:szCs w:val="22"/>
        </w:rPr>
      </w:pPr>
    </w:p>
    <w:p w14:paraId="3A0B6C71" w14:textId="77777777" w:rsidR="00A055BE" w:rsidRDefault="00A055BE">
      <w:pPr>
        <w:rPr>
          <w:rFonts w:ascii="Mangal Pro" w:hAnsi="Mangal Pro" w:cs="Mangal Pro"/>
          <w:b/>
          <w:bCs/>
          <w:sz w:val="22"/>
          <w:szCs w:val="22"/>
        </w:rPr>
      </w:pPr>
    </w:p>
    <w:p w14:paraId="7547DD4D" w14:textId="77777777" w:rsidR="00A055BE" w:rsidRDefault="00A055BE">
      <w:pPr>
        <w:rPr>
          <w:rFonts w:ascii="Mangal Pro" w:hAnsi="Mangal Pro" w:cs="Mangal Pro"/>
          <w:b/>
          <w:bCs/>
          <w:sz w:val="22"/>
          <w:szCs w:val="22"/>
        </w:rPr>
      </w:pPr>
    </w:p>
    <w:p w14:paraId="1BE47022" w14:textId="77777777" w:rsidR="00A055BE" w:rsidRDefault="00A055BE">
      <w:pPr>
        <w:rPr>
          <w:rFonts w:ascii="Mangal Pro" w:hAnsi="Mangal Pro" w:cs="Mangal Pro"/>
          <w:b/>
          <w:bCs/>
          <w:sz w:val="22"/>
          <w:szCs w:val="22"/>
        </w:rPr>
      </w:pPr>
    </w:p>
    <w:p w14:paraId="324CE021" w14:textId="77777777" w:rsidR="00A055BE" w:rsidRDefault="00A055BE">
      <w:pPr>
        <w:rPr>
          <w:rFonts w:ascii="Mangal Pro" w:hAnsi="Mangal Pro" w:cs="Mangal Pro"/>
          <w:b/>
          <w:bCs/>
          <w:sz w:val="22"/>
          <w:szCs w:val="22"/>
        </w:rPr>
      </w:pPr>
    </w:p>
    <w:p w14:paraId="70E0BF75" w14:textId="77777777" w:rsidR="00A055BE" w:rsidRDefault="00A055BE">
      <w:pPr>
        <w:rPr>
          <w:rFonts w:ascii="Mangal Pro" w:hAnsi="Mangal Pro" w:cs="Mangal Pro"/>
          <w:b/>
          <w:bCs/>
          <w:sz w:val="22"/>
          <w:szCs w:val="22"/>
        </w:rPr>
      </w:pPr>
    </w:p>
    <w:p w14:paraId="0A198567" w14:textId="77777777" w:rsidR="00A055BE" w:rsidRDefault="00A055BE">
      <w:pPr>
        <w:rPr>
          <w:rFonts w:ascii="Mangal Pro" w:hAnsi="Mangal Pro" w:cs="Mangal Pro"/>
          <w:b/>
          <w:bCs/>
          <w:sz w:val="22"/>
          <w:szCs w:val="22"/>
        </w:rPr>
      </w:pPr>
    </w:p>
    <w:p w14:paraId="15CD8FDD" w14:textId="74714DCE" w:rsidR="00B165FB" w:rsidRDefault="006C5936" w:rsidP="002D67CA">
      <w:pPr>
        <w:spacing w:line="240" w:lineRule="auto"/>
        <w:contextualSpacing/>
        <w:rPr>
          <w:rFonts w:ascii="Mangal Pro" w:hAnsi="Mangal Pro" w:cs="Mangal Pro"/>
          <w:b/>
          <w:bCs/>
          <w:sz w:val="36"/>
          <w:szCs w:val="36"/>
        </w:rPr>
      </w:pPr>
      <w:r w:rsidRPr="00A055BE">
        <w:rPr>
          <w:rFonts w:ascii="Mangal Pro" w:hAnsi="Mangal Pro" w:cs="Mangal Pro"/>
          <w:b/>
          <w:bCs/>
          <w:sz w:val="36"/>
          <w:szCs w:val="36"/>
        </w:rPr>
        <w:lastRenderedPageBreak/>
        <w:t>Section 5: Student Populations Experiencing Disproportionate Impact</w:t>
      </w:r>
    </w:p>
    <w:p w14:paraId="3FBDC786" w14:textId="109B129B" w:rsidR="00A055BE" w:rsidRDefault="00A055BE" w:rsidP="001B3344">
      <w:pPr>
        <w:tabs>
          <w:tab w:val="left" w:pos="426"/>
        </w:tabs>
        <w:rPr>
          <w:rFonts w:ascii="Mangal Pro" w:hAnsi="Mangal Pro" w:cs="Mangal Pro"/>
          <w:b/>
          <w:bCs/>
          <w:sz w:val="22"/>
          <w:szCs w:val="22"/>
        </w:rPr>
      </w:pPr>
    </w:p>
    <w:p w14:paraId="4126438B" w14:textId="1E5A5D76" w:rsidR="001B3344" w:rsidRDefault="001B3344" w:rsidP="001B3344">
      <w:pPr>
        <w:tabs>
          <w:tab w:val="left" w:pos="426"/>
        </w:tabs>
        <w:rPr>
          <w:rFonts w:ascii="Mangal Pro" w:hAnsi="Mangal Pro" w:cs="Mangal Pro"/>
          <w:b/>
          <w:bCs/>
          <w:sz w:val="22"/>
          <w:szCs w:val="22"/>
        </w:rPr>
      </w:pPr>
      <w:r>
        <w:rPr>
          <w:rFonts w:ascii="Mangal Pro" w:hAnsi="Mangal Pro" w:cs="Mangal Pro"/>
          <w:b/>
          <w:bCs/>
          <w:sz w:val="22"/>
          <w:szCs w:val="22"/>
        </w:rPr>
        <w:t>Successful Enrollment – DI – White students</w:t>
      </w:r>
    </w:p>
    <w:p w14:paraId="2DE2720E" w14:textId="7289D2DE" w:rsidR="002D67CA" w:rsidRPr="002D67CA" w:rsidRDefault="001B3344">
      <w:pPr>
        <w:rPr>
          <w:rFonts w:ascii="Mangal Pro" w:hAnsi="Mangal Pro" w:cs="Mangal Pro"/>
          <w:b/>
          <w:bCs/>
          <w:sz w:val="22"/>
          <w:szCs w:val="22"/>
        </w:rPr>
      </w:pPr>
      <w:r w:rsidRPr="007F2342">
        <w:rPr>
          <w:rFonts w:ascii="Mangal Pro" w:hAnsi="Mangal Pro" w:cs="Mangal Pro"/>
          <w:noProof/>
          <w:sz w:val="22"/>
          <w:szCs w:val="22"/>
        </w:rPr>
        <w:drawing>
          <wp:inline distT="0" distB="0" distL="0" distR="0" wp14:anchorId="2C6B7E4B" wp14:editId="747341BB">
            <wp:extent cx="5943600" cy="2707266"/>
            <wp:effectExtent l="0" t="0" r="0" b="0"/>
            <wp:docPr id="111179228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067790" name="Picture 1" descr="A screenshot of a computer&#10;&#10;AI-generated content may be incorrect."/>
                    <pic:cNvPicPr/>
                  </pic:nvPicPr>
                  <pic:blipFill>
                    <a:blip r:embed="rId24"/>
                    <a:stretch>
                      <a:fillRect/>
                    </a:stretch>
                  </pic:blipFill>
                  <pic:spPr>
                    <a:xfrm>
                      <a:off x="0" y="0"/>
                      <a:ext cx="5943600" cy="2707266"/>
                    </a:xfrm>
                    <a:prstGeom prst="rect">
                      <a:avLst/>
                    </a:prstGeom>
                  </pic:spPr>
                </pic:pic>
              </a:graphicData>
            </a:graphic>
          </wp:inline>
        </w:drawing>
      </w:r>
    </w:p>
    <w:p w14:paraId="7A43615B" w14:textId="0C659E99" w:rsidR="00A055BE" w:rsidRDefault="00DE7D2B">
      <w:pPr>
        <w:rPr>
          <w:rFonts w:ascii="Mangal Pro" w:hAnsi="Mangal Pro" w:cs="Mangal Pro"/>
          <w:b/>
          <w:bCs/>
          <w:sz w:val="22"/>
          <w:szCs w:val="22"/>
        </w:rPr>
      </w:pPr>
      <w:r>
        <w:rPr>
          <w:rFonts w:ascii="Mangal Pro" w:hAnsi="Mangal Pro" w:cs="Mangal Pro"/>
          <w:b/>
          <w:bCs/>
          <w:sz w:val="22"/>
          <w:szCs w:val="22"/>
        </w:rPr>
        <w:t xml:space="preserve">Transfer Level Math &amp; English Completion – DI White </w:t>
      </w:r>
      <w:r w:rsidR="007C02EA">
        <w:rPr>
          <w:rFonts w:ascii="Mangal Pro" w:hAnsi="Mangal Pro" w:cs="Mangal Pro"/>
          <w:b/>
          <w:bCs/>
          <w:sz w:val="22"/>
          <w:szCs w:val="22"/>
        </w:rPr>
        <w:t>students</w:t>
      </w:r>
    </w:p>
    <w:p w14:paraId="63BA5156" w14:textId="7DCF444D" w:rsidR="00CB2D14" w:rsidRDefault="00CB2D14">
      <w:pPr>
        <w:rPr>
          <w:rFonts w:ascii="Mangal Pro" w:hAnsi="Mangal Pro" w:cs="Mangal Pro"/>
          <w:b/>
          <w:bCs/>
          <w:sz w:val="22"/>
          <w:szCs w:val="22"/>
        </w:rPr>
      </w:pPr>
      <w:r w:rsidRPr="00127720">
        <w:rPr>
          <w:rFonts w:ascii="Mangal Pro" w:hAnsi="Mangal Pro" w:cs="Mangal Pro"/>
          <w:noProof/>
          <w:sz w:val="22"/>
          <w:szCs w:val="22"/>
        </w:rPr>
        <w:drawing>
          <wp:inline distT="0" distB="0" distL="0" distR="0" wp14:anchorId="137C4C0A" wp14:editId="44FF5371">
            <wp:extent cx="5943600" cy="2252980"/>
            <wp:effectExtent l="0" t="0" r="0" b="0"/>
            <wp:docPr id="208929460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026795" name="Picture 1" descr="A screenshot of a computer&#10;&#10;AI-generated content may be incorrect."/>
                    <pic:cNvPicPr/>
                  </pic:nvPicPr>
                  <pic:blipFill>
                    <a:blip r:embed="rId25"/>
                    <a:stretch>
                      <a:fillRect/>
                    </a:stretch>
                  </pic:blipFill>
                  <pic:spPr>
                    <a:xfrm>
                      <a:off x="0" y="0"/>
                      <a:ext cx="5943600" cy="2252980"/>
                    </a:xfrm>
                    <a:prstGeom prst="rect">
                      <a:avLst/>
                    </a:prstGeom>
                  </pic:spPr>
                </pic:pic>
              </a:graphicData>
            </a:graphic>
          </wp:inline>
        </w:drawing>
      </w:r>
    </w:p>
    <w:p w14:paraId="01C85B21" w14:textId="77777777" w:rsidR="00A055BE" w:rsidRDefault="00A055BE">
      <w:pPr>
        <w:rPr>
          <w:rFonts w:ascii="Mangal Pro" w:hAnsi="Mangal Pro" w:cs="Mangal Pro"/>
          <w:b/>
          <w:bCs/>
          <w:sz w:val="22"/>
          <w:szCs w:val="22"/>
        </w:rPr>
      </w:pPr>
    </w:p>
    <w:p w14:paraId="35543775" w14:textId="77777777" w:rsidR="00CF2D9B" w:rsidRPr="00CB2D14" w:rsidRDefault="00CF2D9B">
      <w:pPr>
        <w:rPr>
          <w:rFonts w:ascii="Mangal Pro" w:hAnsi="Mangal Pro" w:cs="Mangal Pro"/>
          <w:b/>
          <w:bCs/>
          <w:sz w:val="22"/>
          <w:szCs w:val="22"/>
        </w:rPr>
      </w:pPr>
    </w:p>
    <w:p w14:paraId="453C2E23" w14:textId="68BF1C1B" w:rsidR="00A055BE" w:rsidRPr="00CB2D14" w:rsidRDefault="00CB2D14">
      <w:pPr>
        <w:rPr>
          <w:rFonts w:ascii="Mangal Pro" w:hAnsi="Mangal Pro" w:cs="Mangal Pro"/>
          <w:b/>
          <w:bCs/>
          <w:sz w:val="22"/>
          <w:szCs w:val="22"/>
        </w:rPr>
      </w:pPr>
      <w:r w:rsidRPr="00CB2D14">
        <w:rPr>
          <w:rFonts w:ascii="Mangal Pro" w:hAnsi="Mangal Pro" w:cs="Mangal Pro"/>
          <w:b/>
          <w:bCs/>
          <w:sz w:val="22"/>
          <w:szCs w:val="22"/>
        </w:rPr>
        <w:lastRenderedPageBreak/>
        <w:t>Primary Term to Secondary Term</w:t>
      </w:r>
      <w:r w:rsidR="00CF2D9B">
        <w:rPr>
          <w:rFonts w:ascii="Mangal Pro" w:hAnsi="Mangal Pro" w:cs="Mangal Pro"/>
          <w:b/>
          <w:bCs/>
          <w:sz w:val="22"/>
          <w:szCs w:val="22"/>
        </w:rPr>
        <w:t xml:space="preserve"> DI – Black/African American </w:t>
      </w:r>
      <w:r w:rsidR="00AB6521">
        <w:rPr>
          <w:rFonts w:ascii="Mangal Pro" w:hAnsi="Mangal Pro" w:cs="Mangal Pro"/>
          <w:b/>
          <w:bCs/>
          <w:sz w:val="22"/>
          <w:szCs w:val="22"/>
        </w:rPr>
        <w:t xml:space="preserve">and White </w:t>
      </w:r>
      <w:r w:rsidR="00CF2D9B">
        <w:rPr>
          <w:rFonts w:ascii="Mangal Pro" w:hAnsi="Mangal Pro" w:cs="Mangal Pro"/>
          <w:b/>
          <w:bCs/>
          <w:sz w:val="22"/>
          <w:szCs w:val="22"/>
        </w:rPr>
        <w:t>Students</w:t>
      </w:r>
    </w:p>
    <w:p w14:paraId="302010C3" w14:textId="1866A68C" w:rsidR="00A055BE" w:rsidRPr="00CF2D9B" w:rsidRDefault="00AB6521">
      <w:pPr>
        <w:rPr>
          <w:rFonts w:ascii="Mangal Pro" w:hAnsi="Mangal Pro" w:cs="Mangal Pro"/>
          <w:b/>
          <w:bCs/>
          <w:sz w:val="22"/>
          <w:szCs w:val="22"/>
        </w:rPr>
      </w:pPr>
      <w:r w:rsidRPr="0041320E">
        <w:rPr>
          <w:rFonts w:ascii="Mangal Pro" w:hAnsi="Mangal Pro" w:cs="Mangal Pro"/>
          <w:noProof/>
          <w:sz w:val="22"/>
          <w:szCs w:val="22"/>
        </w:rPr>
        <w:drawing>
          <wp:inline distT="0" distB="0" distL="0" distR="0" wp14:anchorId="351004BA" wp14:editId="352A1305">
            <wp:extent cx="5943600" cy="2232025"/>
            <wp:effectExtent l="0" t="0" r="0" b="0"/>
            <wp:docPr id="16245090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974526" name="Picture 1" descr="A screenshot of a computer&#10;&#10;AI-generated content may be incorrect."/>
                    <pic:cNvPicPr/>
                  </pic:nvPicPr>
                  <pic:blipFill>
                    <a:blip r:embed="rId26"/>
                    <a:stretch>
                      <a:fillRect/>
                    </a:stretch>
                  </pic:blipFill>
                  <pic:spPr>
                    <a:xfrm>
                      <a:off x="0" y="0"/>
                      <a:ext cx="5943600" cy="2232025"/>
                    </a:xfrm>
                    <a:prstGeom prst="rect">
                      <a:avLst/>
                    </a:prstGeom>
                  </pic:spPr>
                </pic:pic>
              </a:graphicData>
            </a:graphic>
          </wp:inline>
        </w:drawing>
      </w:r>
    </w:p>
    <w:p w14:paraId="1BD60D5F" w14:textId="590DEAEE" w:rsidR="00A055BE" w:rsidRDefault="00236DFC">
      <w:pPr>
        <w:rPr>
          <w:rFonts w:ascii="Mangal Pro" w:hAnsi="Mangal Pro" w:cs="Mangal Pro"/>
          <w:b/>
          <w:bCs/>
          <w:sz w:val="22"/>
          <w:szCs w:val="22"/>
        </w:rPr>
      </w:pPr>
      <w:r>
        <w:rPr>
          <w:rFonts w:ascii="Mangal Pro" w:hAnsi="Mangal Pro" w:cs="Mangal Pro"/>
          <w:b/>
          <w:bCs/>
          <w:sz w:val="22"/>
          <w:szCs w:val="22"/>
        </w:rPr>
        <w:t>Vision Goal Completion – DI Black/African American Students</w:t>
      </w:r>
    </w:p>
    <w:p w14:paraId="31B4539E" w14:textId="5EAF1F6A" w:rsidR="00236DFC" w:rsidRPr="00AB6521" w:rsidRDefault="00236DFC">
      <w:pPr>
        <w:rPr>
          <w:rFonts w:ascii="Mangal Pro" w:hAnsi="Mangal Pro" w:cs="Mangal Pro"/>
          <w:b/>
          <w:bCs/>
          <w:sz w:val="22"/>
          <w:szCs w:val="22"/>
        </w:rPr>
      </w:pPr>
      <w:r w:rsidRPr="00A92241">
        <w:rPr>
          <w:rFonts w:ascii="Mangal Pro" w:hAnsi="Mangal Pro" w:cs="Mangal Pro"/>
          <w:noProof/>
          <w:sz w:val="22"/>
          <w:szCs w:val="22"/>
        </w:rPr>
        <w:drawing>
          <wp:inline distT="0" distB="0" distL="0" distR="0" wp14:anchorId="7F5517B2" wp14:editId="32988674">
            <wp:extent cx="5943600" cy="2248535"/>
            <wp:effectExtent l="0" t="0" r="0" b="0"/>
            <wp:docPr id="1981696107" name="Picture 1" descr="A group of squares with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231141" name="Picture 1" descr="A group of squares with different colors&#10;&#10;AI-generated content may be incorrect."/>
                    <pic:cNvPicPr/>
                  </pic:nvPicPr>
                  <pic:blipFill>
                    <a:blip r:embed="rId27"/>
                    <a:stretch>
                      <a:fillRect/>
                    </a:stretch>
                  </pic:blipFill>
                  <pic:spPr>
                    <a:xfrm>
                      <a:off x="0" y="0"/>
                      <a:ext cx="5943600" cy="2248535"/>
                    </a:xfrm>
                    <a:prstGeom prst="rect">
                      <a:avLst/>
                    </a:prstGeom>
                  </pic:spPr>
                </pic:pic>
              </a:graphicData>
            </a:graphic>
          </wp:inline>
        </w:drawing>
      </w:r>
    </w:p>
    <w:p w14:paraId="4FF5D04B" w14:textId="188B8A93" w:rsidR="00A055BE" w:rsidRDefault="00F41619">
      <w:pPr>
        <w:rPr>
          <w:rFonts w:ascii="Mangal Pro" w:hAnsi="Mangal Pro" w:cs="Mangal Pro"/>
          <w:b/>
          <w:bCs/>
          <w:sz w:val="22"/>
          <w:szCs w:val="22"/>
        </w:rPr>
      </w:pPr>
      <w:r>
        <w:rPr>
          <w:rFonts w:ascii="Mangal Pro" w:hAnsi="Mangal Pro" w:cs="Mangal Pro"/>
          <w:b/>
          <w:bCs/>
          <w:sz w:val="22"/>
          <w:szCs w:val="22"/>
        </w:rPr>
        <w:t>Transfer to a 4-year University – DI Hispanic/Latine Students</w:t>
      </w:r>
    </w:p>
    <w:p w14:paraId="423BC1CB" w14:textId="0986619D" w:rsidR="00F41619" w:rsidRDefault="00F41619">
      <w:pPr>
        <w:rPr>
          <w:rFonts w:ascii="Mangal Pro" w:hAnsi="Mangal Pro" w:cs="Mangal Pro"/>
          <w:b/>
          <w:bCs/>
          <w:sz w:val="22"/>
          <w:szCs w:val="22"/>
        </w:rPr>
      </w:pPr>
      <w:r w:rsidRPr="00400A1E">
        <w:rPr>
          <w:rFonts w:ascii="Mangal Pro" w:hAnsi="Mangal Pro" w:cs="Mangal Pro"/>
          <w:noProof/>
          <w:sz w:val="22"/>
          <w:szCs w:val="22"/>
        </w:rPr>
        <w:drawing>
          <wp:inline distT="0" distB="0" distL="0" distR="0" wp14:anchorId="035B87D9" wp14:editId="0ECD8E04">
            <wp:extent cx="5943600" cy="2218690"/>
            <wp:effectExtent l="0" t="0" r="0" b="0"/>
            <wp:docPr id="80850216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1173" name="Picture 1" descr="A screenshot of a computer&#10;&#10;AI-generated content may be incorrect."/>
                    <pic:cNvPicPr/>
                  </pic:nvPicPr>
                  <pic:blipFill>
                    <a:blip r:embed="rId28"/>
                    <a:stretch>
                      <a:fillRect/>
                    </a:stretch>
                  </pic:blipFill>
                  <pic:spPr>
                    <a:xfrm>
                      <a:off x="0" y="0"/>
                      <a:ext cx="5943600" cy="2218690"/>
                    </a:xfrm>
                    <a:prstGeom prst="rect">
                      <a:avLst/>
                    </a:prstGeom>
                  </pic:spPr>
                </pic:pic>
              </a:graphicData>
            </a:graphic>
          </wp:inline>
        </w:drawing>
      </w:r>
    </w:p>
    <w:p w14:paraId="6D530081" w14:textId="553E8C44" w:rsidR="00A055BE" w:rsidRDefault="008410D0">
      <w:pPr>
        <w:rPr>
          <w:rFonts w:ascii="Mangal Pro" w:hAnsi="Mangal Pro" w:cs="Mangal Pro"/>
          <w:b/>
          <w:bCs/>
          <w:sz w:val="22"/>
          <w:szCs w:val="22"/>
        </w:rPr>
      </w:pPr>
      <w:r w:rsidRPr="00A055BE">
        <w:rPr>
          <w:rFonts w:ascii="Mangal Pro" w:hAnsi="Mangal Pro" w:cs="Mangal Pro"/>
          <w:b/>
          <w:bCs/>
          <w:sz w:val="36"/>
          <w:szCs w:val="36"/>
        </w:rPr>
        <w:lastRenderedPageBreak/>
        <w:t>Section 6</w:t>
      </w:r>
      <w:r w:rsidR="00AB4ACA" w:rsidRPr="00A055BE">
        <w:rPr>
          <w:rFonts w:ascii="Mangal Pro" w:hAnsi="Mangal Pro" w:cs="Mangal Pro"/>
          <w:b/>
          <w:bCs/>
          <w:sz w:val="36"/>
          <w:szCs w:val="36"/>
        </w:rPr>
        <w:t>: Metric</w:t>
      </w:r>
      <w:r w:rsidR="009800F1" w:rsidRPr="00A055BE">
        <w:rPr>
          <w:rFonts w:ascii="Mangal Pro" w:hAnsi="Mangal Pro" w:cs="Mangal Pro"/>
          <w:b/>
          <w:bCs/>
          <w:sz w:val="36"/>
          <w:szCs w:val="36"/>
        </w:rPr>
        <w:t xml:space="preserve"> 1: Successful Enrollment</w:t>
      </w:r>
      <w:r w:rsidR="009800F1" w:rsidRPr="00C13128">
        <w:rPr>
          <w:rFonts w:ascii="Mangal Pro" w:hAnsi="Mangal Pro" w:cs="Mangal Pro"/>
          <w:b/>
          <w:bCs/>
          <w:sz w:val="22"/>
          <w:szCs w:val="22"/>
        </w:rPr>
        <w:t xml:space="preserve"> </w:t>
      </w:r>
    </w:p>
    <w:p w14:paraId="565245B7" w14:textId="51669E56" w:rsidR="007723E0" w:rsidRDefault="00C13128">
      <w:pPr>
        <w:rPr>
          <w:rFonts w:ascii="Mangal Pro" w:hAnsi="Mangal Pro" w:cs="Mangal Pro"/>
          <w:sz w:val="22"/>
          <w:szCs w:val="22"/>
        </w:rPr>
      </w:pPr>
      <w:r>
        <w:rPr>
          <w:rFonts w:ascii="Mangal Pro" w:hAnsi="Mangal Pro" w:cs="Mangal Pro"/>
          <w:sz w:val="22"/>
          <w:szCs w:val="22"/>
        </w:rPr>
        <w:t>The percentage of first-time applicants who enroll by the end of that academic year (summer to spring)</w:t>
      </w:r>
    </w:p>
    <w:p w14:paraId="73F21C13" w14:textId="2037BC18" w:rsidR="007723E0" w:rsidRDefault="00B9501A">
      <w:pPr>
        <w:rPr>
          <w:rFonts w:ascii="Mangal Pro" w:hAnsi="Mangal Pro" w:cs="Mangal Pro"/>
          <w:sz w:val="22"/>
          <w:szCs w:val="22"/>
        </w:rPr>
      </w:pPr>
      <w:r w:rsidRPr="00B9501A">
        <w:rPr>
          <w:rFonts w:ascii="Mangal Pro" w:hAnsi="Mangal Pro" w:cs="Mangal Pro"/>
          <w:noProof/>
          <w:sz w:val="22"/>
          <w:szCs w:val="22"/>
        </w:rPr>
        <w:drawing>
          <wp:inline distT="0" distB="0" distL="0" distR="0" wp14:anchorId="1537B006" wp14:editId="0C9D7F5E">
            <wp:extent cx="5249008" cy="2553056"/>
            <wp:effectExtent l="0" t="0" r="8890" b="0"/>
            <wp:docPr id="186352736" name="Picture 1"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52736" name="Picture 1" descr="A graph of a number of people&#10;&#10;AI-generated content may be incorrect."/>
                    <pic:cNvPicPr/>
                  </pic:nvPicPr>
                  <pic:blipFill>
                    <a:blip r:embed="rId29"/>
                    <a:stretch>
                      <a:fillRect/>
                    </a:stretch>
                  </pic:blipFill>
                  <pic:spPr>
                    <a:xfrm>
                      <a:off x="0" y="0"/>
                      <a:ext cx="5249008" cy="2553056"/>
                    </a:xfrm>
                    <a:prstGeom prst="rect">
                      <a:avLst/>
                    </a:prstGeom>
                  </pic:spPr>
                </pic:pic>
              </a:graphicData>
            </a:graphic>
          </wp:inline>
        </w:drawing>
      </w:r>
    </w:p>
    <w:p w14:paraId="439E568A" w14:textId="77777777" w:rsidR="007F2342" w:rsidRDefault="007F2342">
      <w:pPr>
        <w:rPr>
          <w:rFonts w:ascii="Mangal Pro" w:hAnsi="Mangal Pro" w:cs="Mangal Pro"/>
          <w:sz w:val="22"/>
          <w:szCs w:val="22"/>
        </w:rPr>
      </w:pPr>
    </w:p>
    <w:p w14:paraId="37AFF61B" w14:textId="4DDB6F58" w:rsidR="00AA5465" w:rsidRDefault="007F2342">
      <w:pPr>
        <w:rPr>
          <w:rFonts w:ascii="Mangal Pro" w:hAnsi="Mangal Pro" w:cs="Mangal Pro"/>
          <w:sz w:val="22"/>
          <w:szCs w:val="22"/>
        </w:rPr>
      </w:pPr>
      <w:r w:rsidRPr="007F2342">
        <w:rPr>
          <w:rFonts w:ascii="Mangal Pro" w:hAnsi="Mangal Pro" w:cs="Mangal Pro"/>
          <w:noProof/>
          <w:sz w:val="22"/>
          <w:szCs w:val="22"/>
        </w:rPr>
        <w:drawing>
          <wp:inline distT="0" distB="0" distL="0" distR="0" wp14:anchorId="764B5EE7" wp14:editId="0F0D08EB">
            <wp:extent cx="6398895" cy="2914650"/>
            <wp:effectExtent l="0" t="0" r="1905" b="0"/>
            <wp:docPr id="22406779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067790" name="Picture 1" descr="A screenshot of a computer&#10;&#10;AI-generated content may be incorrect."/>
                    <pic:cNvPicPr/>
                  </pic:nvPicPr>
                  <pic:blipFill>
                    <a:blip r:embed="rId24"/>
                    <a:stretch>
                      <a:fillRect/>
                    </a:stretch>
                  </pic:blipFill>
                  <pic:spPr>
                    <a:xfrm>
                      <a:off x="0" y="0"/>
                      <a:ext cx="6407282" cy="2918470"/>
                    </a:xfrm>
                    <a:prstGeom prst="rect">
                      <a:avLst/>
                    </a:prstGeom>
                  </pic:spPr>
                </pic:pic>
              </a:graphicData>
            </a:graphic>
          </wp:inline>
        </w:drawing>
      </w:r>
    </w:p>
    <w:p w14:paraId="463FFAD9" w14:textId="3547DE84" w:rsidR="00A055BE" w:rsidRPr="00FB4310" w:rsidRDefault="007F2342">
      <w:pPr>
        <w:rPr>
          <w:rFonts w:ascii="Mangal Pro" w:hAnsi="Mangal Pro" w:cs="Mangal Pro"/>
          <w:b/>
          <w:bCs/>
          <w:i/>
          <w:iCs/>
          <w:sz w:val="20"/>
          <w:szCs w:val="20"/>
        </w:rPr>
      </w:pPr>
      <w:r w:rsidRPr="00FB4310">
        <w:rPr>
          <w:rFonts w:ascii="Mangal Pro" w:hAnsi="Mangal Pro" w:cs="Mangal Pro"/>
          <w:i/>
          <w:iCs/>
          <w:sz w:val="20"/>
          <w:szCs w:val="20"/>
        </w:rPr>
        <w:t>The table above shows that the Enrollment gap was closed for our Black/African American students</w:t>
      </w:r>
      <w:r w:rsidR="00127720" w:rsidRPr="00FB4310">
        <w:rPr>
          <w:rFonts w:ascii="Mangal Pro" w:hAnsi="Mangal Pro" w:cs="Mangal Pro"/>
          <w:i/>
          <w:iCs/>
          <w:sz w:val="20"/>
          <w:szCs w:val="20"/>
        </w:rPr>
        <w:t xml:space="preserve">. </w:t>
      </w:r>
    </w:p>
    <w:p w14:paraId="57204734" w14:textId="5BC90354" w:rsidR="00127720" w:rsidRDefault="00C818A2">
      <w:pPr>
        <w:rPr>
          <w:rFonts w:ascii="Mangal Pro" w:hAnsi="Mangal Pro" w:cs="Mangal Pro"/>
          <w:sz w:val="22"/>
          <w:szCs w:val="22"/>
        </w:rPr>
      </w:pPr>
      <w:r>
        <w:rPr>
          <w:rFonts w:ascii="Mangal Pro" w:hAnsi="Mangal Pro" w:cs="Mangal Pro"/>
          <w:sz w:val="22"/>
          <w:szCs w:val="22"/>
        </w:rPr>
        <w:lastRenderedPageBreak/>
        <w:t>Key Strategies for Successful Enrollment:</w:t>
      </w:r>
    </w:p>
    <w:p w14:paraId="6EEFD9F9" w14:textId="751876EF" w:rsidR="00C818A2" w:rsidRPr="00C818A2" w:rsidRDefault="001009B9" w:rsidP="00C818A2">
      <w:pPr>
        <w:pStyle w:val="ListParagraph"/>
        <w:numPr>
          <w:ilvl w:val="0"/>
          <w:numId w:val="7"/>
        </w:numPr>
        <w:rPr>
          <w:rFonts w:ascii="Mangal Pro" w:hAnsi="Mangal Pro" w:cs="Mangal Pro"/>
          <w:sz w:val="22"/>
          <w:szCs w:val="22"/>
        </w:rPr>
      </w:pPr>
      <w:r w:rsidRPr="00C818A2">
        <w:rPr>
          <w:rFonts w:ascii="Mangal Pro" w:hAnsi="Mangal Pro" w:cs="Mangal Pro"/>
          <w:b/>
          <w:bCs/>
          <w:sz w:val="22"/>
          <w:szCs w:val="22"/>
        </w:rPr>
        <w:t xml:space="preserve">“Reimagine” </w:t>
      </w:r>
      <w:r w:rsidR="001B7C8E" w:rsidRPr="00C818A2">
        <w:rPr>
          <w:rFonts w:ascii="Mangal Pro" w:hAnsi="Mangal Pro" w:cs="Mangal Pro"/>
          <w:b/>
          <w:bCs/>
          <w:sz w:val="22"/>
          <w:szCs w:val="22"/>
        </w:rPr>
        <w:t xml:space="preserve">the </w:t>
      </w:r>
      <w:r w:rsidRPr="00C818A2">
        <w:rPr>
          <w:rFonts w:ascii="Mangal Pro" w:hAnsi="Mangal Pro" w:cs="Mangal Pro"/>
          <w:b/>
          <w:bCs/>
          <w:sz w:val="22"/>
          <w:szCs w:val="22"/>
        </w:rPr>
        <w:t xml:space="preserve">use/function of “Assessment Center” </w:t>
      </w:r>
      <w:r w:rsidR="00C818A2" w:rsidRPr="00C818A2">
        <w:rPr>
          <w:rFonts w:ascii="Mangal Pro" w:hAnsi="Mangal Pro" w:cs="Mangal Pro"/>
          <w:sz w:val="22"/>
          <w:szCs w:val="22"/>
        </w:rPr>
        <w:t xml:space="preserve">The Assessment Center will be reimagined as an Enrollment Lab, serving as a hub where students transition seamlessly from prospective applicants to fully enrolled </w:t>
      </w:r>
      <w:r w:rsidR="00C818A2">
        <w:rPr>
          <w:rFonts w:ascii="Mangal Pro" w:hAnsi="Mangal Pro" w:cs="Mangal Pro"/>
          <w:sz w:val="22"/>
          <w:szCs w:val="22"/>
        </w:rPr>
        <w:t>students</w:t>
      </w:r>
      <w:r w:rsidR="00C818A2" w:rsidRPr="00C818A2">
        <w:rPr>
          <w:rFonts w:ascii="Mangal Pro" w:hAnsi="Mangal Pro" w:cs="Mangal Pro"/>
          <w:sz w:val="22"/>
          <w:szCs w:val="22"/>
        </w:rPr>
        <w:t xml:space="preserve">. </w:t>
      </w:r>
      <w:r w:rsidR="00C818A2">
        <w:rPr>
          <w:rFonts w:ascii="Mangal Pro" w:hAnsi="Mangal Pro" w:cs="Mangal Pro"/>
          <w:sz w:val="22"/>
          <w:szCs w:val="22"/>
        </w:rPr>
        <w:t>T</w:t>
      </w:r>
      <w:r w:rsidR="00C818A2" w:rsidRPr="00C818A2">
        <w:rPr>
          <w:rFonts w:ascii="Mangal Pro" w:hAnsi="Mangal Pro" w:cs="Mangal Pro"/>
          <w:sz w:val="22"/>
          <w:szCs w:val="22"/>
        </w:rPr>
        <w:t>he Enrollment Lab will integrate services that address every stage of the enrollment journey. Students will receive guided support through application completion, document verification, and matriculation steps. Dedicated staff will assist with FAFSA submissions</w:t>
      </w:r>
      <w:r w:rsidR="00C818A2">
        <w:rPr>
          <w:rFonts w:ascii="Mangal Pro" w:hAnsi="Mangal Pro" w:cs="Mangal Pro"/>
          <w:sz w:val="22"/>
          <w:szCs w:val="22"/>
        </w:rPr>
        <w:t xml:space="preserve"> and</w:t>
      </w:r>
      <w:r w:rsidR="00C818A2" w:rsidRPr="00C818A2">
        <w:rPr>
          <w:rFonts w:ascii="Mangal Pro" w:hAnsi="Mangal Pro" w:cs="Mangal Pro"/>
          <w:sz w:val="22"/>
          <w:szCs w:val="22"/>
        </w:rPr>
        <w:t xml:space="preserve"> financial aid counseling</w:t>
      </w:r>
      <w:r w:rsidR="00C818A2">
        <w:rPr>
          <w:rFonts w:ascii="Mangal Pro" w:hAnsi="Mangal Pro" w:cs="Mangal Pro"/>
          <w:sz w:val="22"/>
          <w:szCs w:val="22"/>
        </w:rPr>
        <w:t xml:space="preserve"> </w:t>
      </w:r>
      <w:r w:rsidR="00C818A2" w:rsidRPr="00C818A2">
        <w:rPr>
          <w:rFonts w:ascii="Mangal Pro" w:hAnsi="Mangal Pro" w:cs="Mangal Pro"/>
          <w:sz w:val="22"/>
          <w:szCs w:val="22"/>
        </w:rPr>
        <w:t xml:space="preserve">to ensure affordability is not a barrier. The </w:t>
      </w:r>
      <w:r w:rsidR="00862D40">
        <w:rPr>
          <w:rFonts w:ascii="Mangal Pro" w:hAnsi="Mangal Pro" w:cs="Mangal Pro"/>
          <w:sz w:val="22"/>
          <w:szCs w:val="22"/>
        </w:rPr>
        <w:t>l</w:t>
      </w:r>
      <w:r w:rsidR="00C818A2" w:rsidRPr="00C818A2">
        <w:rPr>
          <w:rFonts w:ascii="Mangal Pro" w:hAnsi="Mangal Pro" w:cs="Mangal Pro"/>
          <w:sz w:val="22"/>
          <w:szCs w:val="22"/>
        </w:rPr>
        <w:t>ab will also provide hands-on registration support, helping students select appropriate courses aligned with their academic goals and term schedules.</w:t>
      </w:r>
      <w:r w:rsidR="00C818A2">
        <w:rPr>
          <w:rFonts w:ascii="Mangal Pro" w:hAnsi="Mangal Pro" w:cs="Mangal Pro"/>
          <w:sz w:val="22"/>
          <w:szCs w:val="22"/>
        </w:rPr>
        <w:t xml:space="preserve"> </w:t>
      </w:r>
      <w:r w:rsidR="00C818A2" w:rsidRPr="00C818A2">
        <w:rPr>
          <w:rFonts w:ascii="Mangal Pro" w:hAnsi="Mangal Pro" w:cs="Mangal Pro"/>
          <w:sz w:val="22"/>
          <w:szCs w:val="22"/>
        </w:rPr>
        <w:t xml:space="preserve">Collaboration across admissions, advising, and financial aid offices will create a one-stop environment that reduces confusion and </w:t>
      </w:r>
      <w:r w:rsidR="00862D40">
        <w:rPr>
          <w:rFonts w:ascii="Mangal Pro" w:hAnsi="Mangal Pro" w:cs="Mangal Pro"/>
          <w:sz w:val="22"/>
          <w:szCs w:val="22"/>
        </w:rPr>
        <w:t xml:space="preserve">increases </w:t>
      </w:r>
      <w:r w:rsidR="00C818A2" w:rsidRPr="00C818A2">
        <w:rPr>
          <w:rFonts w:ascii="Mangal Pro" w:hAnsi="Mangal Pro" w:cs="Mangal Pro"/>
          <w:sz w:val="22"/>
          <w:szCs w:val="22"/>
        </w:rPr>
        <w:t xml:space="preserve">enrollment. The goal is to transform the student experience into a streamlined, supportive pathway where every visitor leaves the </w:t>
      </w:r>
      <w:r w:rsidR="00862D40">
        <w:rPr>
          <w:rFonts w:ascii="Mangal Pro" w:hAnsi="Mangal Pro" w:cs="Mangal Pro"/>
          <w:sz w:val="22"/>
          <w:szCs w:val="22"/>
        </w:rPr>
        <w:t>l</w:t>
      </w:r>
      <w:r w:rsidR="00C818A2" w:rsidRPr="00C818A2">
        <w:rPr>
          <w:rFonts w:ascii="Mangal Pro" w:hAnsi="Mangal Pro" w:cs="Mangal Pro"/>
          <w:sz w:val="22"/>
          <w:szCs w:val="22"/>
        </w:rPr>
        <w:t xml:space="preserve">ab “Successfully Enrolled.” </w:t>
      </w:r>
    </w:p>
    <w:p w14:paraId="5FA16A1A" w14:textId="5698159D" w:rsidR="00730179" w:rsidRPr="00730179" w:rsidRDefault="001009B9" w:rsidP="00730179">
      <w:pPr>
        <w:pStyle w:val="ListParagraph"/>
        <w:numPr>
          <w:ilvl w:val="0"/>
          <w:numId w:val="7"/>
        </w:numPr>
        <w:rPr>
          <w:rFonts w:ascii="Mangal Pro" w:hAnsi="Mangal Pro" w:cs="Mangal Pro"/>
          <w:sz w:val="22"/>
          <w:szCs w:val="22"/>
        </w:rPr>
      </w:pPr>
      <w:r w:rsidRPr="00730179">
        <w:rPr>
          <w:rFonts w:ascii="Mangal Pro" w:hAnsi="Mangal Pro" w:cs="Mangal Pro"/>
          <w:b/>
          <w:bCs/>
          <w:sz w:val="22"/>
          <w:szCs w:val="22"/>
        </w:rPr>
        <w:t xml:space="preserve">Continuation and reinforcement of “Successful Enrollment Labs”; </w:t>
      </w:r>
      <w:r w:rsidR="00730179" w:rsidRPr="00730179">
        <w:rPr>
          <w:rFonts w:ascii="Mangal Pro" w:hAnsi="Mangal Pro" w:cs="Mangal Pro"/>
          <w:sz w:val="22"/>
          <w:szCs w:val="22"/>
        </w:rPr>
        <w:t>The continuation and reinforcement of Successful Enrollment Labs ensures that students receive consistent, hands</w:t>
      </w:r>
      <w:r w:rsidR="00730179" w:rsidRPr="00730179">
        <w:rPr>
          <w:rFonts w:ascii="Mangal Pro" w:hAnsi="Mangal Pro" w:cs="Mangal Pro"/>
          <w:sz w:val="22"/>
          <w:szCs w:val="22"/>
        </w:rPr>
        <w:noBreakHyphen/>
        <w:t>on support throughout the enrollment journey. These labs function as dedicated spaces where staff guide students through completing applications, resolving documentation issues, and navigating financial aid or FAFSA requirements. By addressing difficulties in real time, the labs reduce barriers and prevent delays that often hinder student progress. Reinforcement includes expanding lab hours, integrating technology</w:t>
      </w:r>
      <w:r w:rsidR="00730179" w:rsidRPr="00730179">
        <w:rPr>
          <w:rFonts w:ascii="Mangal Pro" w:hAnsi="Mangal Pro" w:cs="Mangal Pro"/>
          <w:b/>
          <w:bCs/>
          <w:sz w:val="22"/>
          <w:szCs w:val="22"/>
        </w:rPr>
        <w:t xml:space="preserve"> </w:t>
      </w:r>
      <w:r w:rsidR="00730179" w:rsidRPr="00730179">
        <w:rPr>
          <w:rFonts w:ascii="Mangal Pro" w:hAnsi="Mangal Pro" w:cs="Mangal Pro"/>
          <w:sz w:val="22"/>
          <w:szCs w:val="22"/>
        </w:rPr>
        <w:t>for tracking progress, and fostering collaboration across admissions, advising, and financial aid offices.</w:t>
      </w:r>
      <w:r w:rsidR="00730179">
        <w:rPr>
          <w:rFonts w:ascii="Mangal Pro" w:hAnsi="Mangal Pro" w:cs="Mangal Pro"/>
          <w:sz w:val="22"/>
          <w:szCs w:val="22"/>
        </w:rPr>
        <w:t xml:space="preserve"> T</w:t>
      </w:r>
      <w:r w:rsidR="00730179" w:rsidRPr="00730179">
        <w:rPr>
          <w:rFonts w:ascii="Mangal Pro" w:hAnsi="Mangal Pro" w:cs="Mangal Pro"/>
          <w:sz w:val="22"/>
          <w:szCs w:val="22"/>
        </w:rPr>
        <w:t xml:space="preserve">he labs will emphasize proactive outreach, inviting students who may be at risk of stopping out to return and complete their enrollment. Workshops and peer mentoring will be incorporated to build confidence and community, while multilingual support ensures accessibility for diverse populations. </w:t>
      </w:r>
    </w:p>
    <w:p w14:paraId="112C0E24" w14:textId="538E02FB" w:rsidR="00AB4ACA" w:rsidRDefault="00AA5465" w:rsidP="00730179">
      <w:pPr>
        <w:pStyle w:val="ListParagraph"/>
        <w:numPr>
          <w:ilvl w:val="0"/>
          <w:numId w:val="7"/>
        </w:numPr>
        <w:rPr>
          <w:rFonts w:ascii="Mangal Pro" w:hAnsi="Mangal Pro" w:cs="Mangal Pro"/>
          <w:sz w:val="22"/>
          <w:szCs w:val="22"/>
        </w:rPr>
      </w:pPr>
      <w:r w:rsidRPr="00730179">
        <w:rPr>
          <w:rFonts w:ascii="Mangal Pro" w:hAnsi="Mangal Pro" w:cs="Mangal Pro"/>
          <w:b/>
          <w:bCs/>
          <w:sz w:val="22"/>
          <w:szCs w:val="22"/>
        </w:rPr>
        <w:lastRenderedPageBreak/>
        <w:t xml:space="preserve">Targeted Recruitment and Outreach efforts, specifically tied into directing </w:t>
      </w:r>
      <w:r w:rsidR="00E70D0E" w:rsidRPr="00730179">
        <w:rPr>
          <w:rFonts w:ascii="Mangal Pro" w:hAnsi="Mangal Pro" w:cs="Mangal Pro"/>
          <w:b/>
          <w:bCs/>
          <w:sz w:val="22"/>
          <w:szCs w:val="22"/>
        </w:rPr>
        <w:t>students</w:t>
      </w:r>
      <w:r w:rsidRPr="00730179">
        <w:rPr>
          <w:rFonts w:ascii="Mangal Pro" w:hAnsi="Mangal Pro" w:cs="Mangal Pro"/>
          <w:b/>
          <w:bCs/>
          <w:sz w:val="22"/>
          <w:szCs w:val="22"/>
        </w:rPr>
        <w:t xml:space="preserve"> into </w:t>
      </w:r>
      <w:r w:rsidR="00E70D0E" w:rsidRPr="00730179">
        <w:rPr>
          <w:rFonts w:ascii="Mangal Pro" w:hAnsi="Mangal Pro" w:cs="Mangal Pro"/>
          <w:b/>
          <w:bCs/>
          <w:sz w:val="22"/>
          <w:szCs w:val="22"/>
        </w:rPr>
        <w:t xml:space="preserve">the </w:t>
      </w:r>
      <w:r w:rsidRPr="00730179">
        <w:rPr>
          <w:rFonts w:ascii="Mangal Pro" w:hAnsi="Mangal Pro" w:cs="Mangal Pro"/>
          <w:b/>
          <w:bCs/>
          <w:sz w:val="22"/>
          <w:szCs w:val="22"/>
        </w:rPr>
        <w:t>use of “Successful Enrollment Labs</w:t>
      </w:r>
      <w:r w:rsidRPr="00730179">
        <w:rPr>
          <w:rFonts w:ascii="Mangal Pro" w:hAnsi="Mangal Pro" w:cs="Mangal Pro"/>
          <w:sz w:val="22"/>
          <w:szCs w:val="22"/>
        </w:rPr>
        <w:t xml:space="preserve">, </w:t>
      </w:r>
      <w:r w:rsidR="00FB4310" w:rsidRPr="00FB4310">
        <w:rPr>
          <w:rFonts w:ascii="Mangal Pro" w:hAnsi="Mangal Pro" w:cs="Mangal Pro"/>
          <w:sz w:val="22"/>
          <w:szCs w:val="22"/>
        </w:rPr>
        <w:t xml:space="preserve">will be strategically aligned to direct students into Successful Enrollment Labs, ensuring personalized support at every stage. Efforts will extend beyond traditional marketing, using direct communication with high schools, community organizations, and digital platforms to reach diverse populations. The </w:t>
      </w:r>
      <w:r w:rsidR="00FB4310">
        <w:rPr>
          <w:rFonts w:ascii="Mangal Pro" w:hAnsi="Mangal Pro" w:cs="Mangal Pro"/>
          <w:sz w:val="22"/>
          <w:szCs w:val="22"/>
        </w:rPr>
        <w:t>l</w:t>
      </w:r>
      <w:r w:rsidR="00FB4310" w:rsidRPr="00FB4310">
        <w:rPr>
          <w:rFonts w:ascii="Mangal Pro" w:hAnsi="Mangal Pro" w:cs="Mangal Pro"/>
          <w:sz w:val="22"/>
          <w:szCs w:val="22"/>
        </w:rPr>
        <w:t xml:space="preserve">abs will be emphasized as a central resource for guidance on applications, financial aid, and registration. Staff and ambassadors will highlight the </w:t>
      </w:r>
      <w:r w:rsidR="00FB4310">
        <w:rPr>
          <w:rFonts w:ascii="Mangal Pro" w:hAnsi="Mangal Pro" w:cs="Mangal Pro"/>
          <w:sz w:val="22"/>
          <w:szCs w:val="22"/>
        </w:rPr>
        <w:t>l</w:t>
      </w:r>
      <w:r w:rsidR="00FB4310" w:rsidRPr="00FB4310">
        <w:rPr>
          <w:rFonts w:ascii="Mangal Pro" w:hAnsi="Mangal Pro" w:cs="Mangal Pro"/>
          <w:sz w:val="22"/>
          <w:szCs w:val="22"/>
        </w:rPr>
        <w:t>abs during events, orientations, and tours as the “gateway” to enrollment. Campaigns using social media, email, and text messaging will reinforce participation, creating a seamless bridge from interest to enrollment and boosting conversion rates.</w:t>
      </w:r>
    </w:p>
    <w:p w14:paraId="61E4149D" w14:textId="77777777" w:rsidR="00FB4310" w:rsidRPr="00730179" w:rsidRDefault="00FB4310" w:rsidP="00FB4310">
      <w:pPr>
        <w:pStyle w:val="ListParagraph"/>
        <w:rPr>
          <w:rFonts w:ascii="Mangal Pro" w:hAnsi="Mangal Pro" w:cs="Mangal Pro"/>
          <w:sz w:val="22"/>
          <w:szCs w:val="22"/>
        </w:rPr>
      </w:pPr>
    </w:p>
    <w:p w14:paraId="266764E5" w14:textId="52E3977B" w:rsidR="00FB4310" w:rsidRPr="00FB4310" w:rsidRDefault="00E70D0E" w:rsidP="00FB4310">
      <w:pPr>
        <w:pStyle w:val="ListParagraph"/>
        <w:numPr>
          <w:ilvl w:val="0"/>
          <w:numId w:val="7"/>
        </w:numPr>
        <w:spacing w:line="240" w:lineRule="auto"/>
        <w:rPr>
          <w:rFonts w:ascii="Mangal Pro" w:hAnsi="Mangal Pro" w:cs="Mangal Pro"/>
          <w:b/>
          <w:bCs/>
          <w:sz w:val="22"/>
          <w:szCs w:val="22"/>
        </w:rPr>
      </w:pPr>
      <w:r w:rsidRPr="0041320E">
        <w:rPr>
          <w:rFonts w:ascii="Mangal Pro" w:hAnsi="Mangal Pro" w:cs="Mangal Pro"/>
          <w:b/>
          <w:bCs/>
          <w:sz w:val="22"/>
          <w:szCs w:val="22"/>
        </w:rPr>
        <w:t>Additional</w:t>
      </w:r>
      <w:r w:rsidR="0041320E" w:rsidRPr="0041320E">
        <w:rPr>
          <w:rFonts w:ascii="Mangal Pro" w:hAnsi="Mangal Pro" w:cs="Mangal Pro"/>
          <w:b/>
          <w:bCs/>
          <w:sz w:val="22"/>
          <w:szCs w:val="22"/>
        </w:rPr>
        <w:t xml:space="preserve"> strategy: Strengthen Dual Enrollment and Intentional partnerships with local </w:t>
      </w:r>
      <w:r>
        <w:rPr>
          <w:rFonts w:ascii="Mangal Pro" w:hAnsi="Mangal Pro" w:cs="Mangal Pro"/>
          <w:b/>
          <w:bCs/>
          <w:sz w:val="22"/>
          <w:szCs w:val="22"/>
        </w:rPr>
        <w:t>K-12</w:t>
      </w:r>
      <w:r w:rsidR="0041320E" w:rsidRPr="0041320E">
        <w:rPr>
          <w:rFonts w:ascii="Mangal Pro" w:hAnsi="Mangal Pro" w:cs="Mangal Pro"/>
          <w:b/>
          <w:bCs/>
          <w:sz w:val="22"/>
          <w:szCs w:val="22"/>
        </w:rPr>
        <w:t xml:space="preserve"> partners</w:t>
      </w:r>
      <w:r w:rsidR="0041320E" w:rsidRPr="0041320E">
        <w:rPr>
          <w:rFonts w:ascii="Mangal Pro" w:hAnsi="Mangal Pro" w:cs="Mangal Pro"/>
          <w:sz w:val="22"/>
          <w:szCs w:val="22"/>
        </w:rPr>
        <w:t>;</w:t>
      </w:r>
      <w:r w:rsidR="0041320E" w:rsidRPr="00FB4310">
        <w:rPr>
          <w:rFonts w:ascii="Mangal Pro" w:hAnsi="Mangal Pro" w:cs="Mangal Pro"/>
          <w:sz w:val="22"/>
          <w:szCs w:val="22"/>
        </w:rPr>
        <w:t xml:space="preserve"> </w:t>
      </w:r>
      <w:r w:rsidR="00FB4310" w:rsidRPr="00FB4310">
        <w:rPr>
          <w:rFonts w:ascii="Mangal Pro" w:hAnsi="Mangal Pro" w:cs="Mangal Pro"/>
          <w:sz w:val="22"/>
          <w:szCs w:val="22"/>
        </w:rPr>
        <w:t>to create a more seamless pipeline into higher education. By enhancing our collaboration with district leaders, counselors, and teachers, institutions can ensure that students are aware of opportunities to earn college credit while enrolled in high school. Host annual “College Readiness and Dual Enrollment Summits” where high school students, parents, and educators engage with college faculty and staff. These events will provide hands</w:t>
      </w:r>
      <w:r w:rsidR="00FB4310" w:rsidRPr="00FB4310">
        <w:rPr>
          <w:rFonts w:ascii="Mangal Pro" w:hAnsi="Mangal Pro" w:cs="Mangal Pro"/>
          <w:sz w:val="22"/>
          <w:szCs w:val="22"/>
        </w:rPr>
        <w:noBreakHyphen/>
        <w:t>on workshops about enrollment labs, financial aid, and course selection, while also celebrating student success stories. This approach not only strengthens academic preparation but also builds trust and visibility, ensuring that more students transition confidently from high school into successful college enrollment.</w:t>
      </w:r>
    </w:p>
    <w:p w14:paraId="736E0B17" w14:textId="77777777" w:rsidR="0041320E" w:rsidRDefault="0041320E" w:rsidP="00C13128">
      <w:pPr>
        <w:rPr>
          <w:rFonts w:ascii="Mangal Pro" w:hAnsi="Mangal Pro" w:cs="Mangal Pro"/>
          <w:b/>
          <w:bCs/>
          <w:sz w:val="22"/>
          <w:szCs w:val="22"/>
        </w:rPr>
      </w:pPr>
    </w:p>
    <w:p w14:paraId="37AA363F" w14:textId="77777777" w:rsidR="00B9501A" w:rsidRDefault="00B9501A" w:rsidP="00C13128">
      <w:pPr>
        <w:rPr>
          <w:rFonts w:ascii="Mangal Pro" w:hAnsi="Mangal Pro" w:cs="Mangal Pro"/>
          <w:b/>
          <w:bCs/>
          <w:sz w:val="22"/>
          <w:szCs w:val="22"/>
        </w:rPr>
      </w:pPr>
    </w:p>
    <w:p w14:paraId="44BC3A69" w14:textId="77777777" w:rsidR="00862D40" w:rsidRDefault="00862D40" w:rsidP="00C13128">
      <w:pPr>
        <w:rPr>
          <w:rFonts w:ascii="Mangal Pro" w:hAnsi="Mangal Pro" w:cs="Mangal Pro"/>
          <w:b/>
          <w:bCs/>
          <w:sz w:val="22"/>
          <w:szCs w:val="22"/>
        </w:rPr>
      </w:pPr>
    </w:p>
    <w:p w14:paraId="1BF99458" w14:textId="77777777" w:rsidR="00F41619" w:rsidRDefault="00F41619" w:rsidP="00C13128">
      <w:pPr>
        <w:rPr>
          <w:rFonts w:ascii="Mangal Pro" w:hAnsi="Mangal Pro" w:cs="Mangal Pro"/>
          <w:b/>
          <w:bCs/>
          <w:sz w:val="32"/>
          <w:szCs w:val="32"/>
        </w:rPr>
      </w:pPr>
    </w:p>
    <w:p w14:paraId="6E2EB573" w14:textId="17B5292E" w:rsidR="00AB4ACA" w:rsidRPr="00AB4ACA" w:rsidRDefault="008410D0" w:rsidP="00C13128">
      <w:pPr>
        <w:rPr>
          <w:rFonts w:ascii="Mangal Pro" w:hAnsi="Mangal Pro" w:cs="Mangal Pro"/>
          <w:b/>
          <w:bCs/>
          <w:sz w:val="32"/>
          <w:szCs w:val="32"/>
        </w:rPr>
      </w:pPr>
      <w:r w:rsidRPr="00AB4ACA">
        <w:rPr>
          <w:rFonts w:ascii="Mangal Pro" w:hAnsi="Mangal Pro" w:cs="Mangal Pro"/>
          <w:b/>
          <w:bCs/>
          <w:sz w:val="32"/>
          <w:szCs w:val="32"/>
        </w:rPr>
        <w:lastRenderedPageBreak/>
        <w:t xml:space="preserve">Section 7: </w:t>
      </w:r>
      <w:r w:rsidR="00C13128" w:rsidRPr="00AB4ACA">
        <w:rPr>
          <w:rFonts w:ascii="Mangal Pro" w:hAnsi="Mangal Pro" w:cs="Mangal Pro"/>
          <w:b/>
          <w:bCs/>
          <w:sz w:val="32"/>
          <w:szCs w:val="32"/>
        </w:rPr>
        <w:t xml:space="preserve">Metric </w:t>
      </w:r>
      <w:r w:rsidR="00AB4ACA" w:rsidRPr="00AB4ACA">
        <w:rPr>
          <w:rFonts w:ascii="Mangal Pro" w:hAnsi="Mangal Pro" w:cs="Mangal Pro"/>
          <w:b/>
          <w:bCs/>
          <w:sz w:val="32"/>
          <w:szCs w:val="32"/>
        </w:rPr>
        <w:t>2: Transfer</w:t>
      </w:r>
      <w:r w:rsidR="00C13128" w:rsidRPr="00AB4ACA">
        <w:rPr>
          <w:rFonts w:ascii="Mangal Pro" w:hAnsi="Mangal Pro" w:cs="Mangal Pro"/>
          <w:b/>
          <w:bCs/>
          <w:sz w:val="32"/>
          <w:szCs w:val="32"/>
        </w:rPr>
        <w:t xml:space="preserve"> Level English and Mathematics  </w:t>
      </w:r>
    </w:p>
    <w:p w14:paraId="22A1E308" w14:textId="3A3A6B2F" w:rsidR="00C13128" w:rsidRPr="00AB4ACA" w:rsidRDefault="00C13128" w:rsidP="00C13128">
      <w:pPr>
        <w:rPr>
          <w:rFonts w:ascii="Mangal Pro" w:hAnsi="Mangal Pro" w:cs="Mangal Pro"/>
          <w:b/>
          <w:bCs/>
          <w:sz w:val="22"/>
          <w:szCs w:val="22"/>
        </w:rPr>
      </w:pPr>
      <w:r>
        <w:rPr>
          <w:rFonts w:ascii="Mangal Pro" w:hAnsi="Mangal Pro" w:cs="Mangal Pro"/>
          <w:sz w:val="22"/>
          <w:szCs w:val="22"/>
        </w:rPr>
        <w:t xml:space="preserve">The percentage of students who successfully complete transfer-level English and Mathematics in their first academic year. </w:t>
      </w:r>
    </w:p>
    <w:p w14:paraId="226F916F" w14:textId="16402BEA" w:rsidR="00B9501A" w:rsidRDefault="00F33F5C" w:rsidP="00C13128">
      <w:pPr>
        <w:rPr>
          <w:rFonts w:ascii="Mangal Pro" w:hAnsi="Mangal Pro" w:cs="Mangal Pro"/>
          <w:sz w:val="22"/>
          <w:szCs w:val="22"/>
        </w:rPr>
      </w:pPr>
      <w:r w:rsidRPr="00F33F5C">
        <w:rPr>
          <w:rFonts w:ascii="Mangal Pro" w:hAnsi="Mangal Pro" w:cs="Mangal Pro"/>
          <w:noProof/>
          <w:sz w:val="22"/>
          <w:szCs w:val="22"/>
        </w:rPr>
        <w:drawing>
          <wp:inline distT="0" distB="0" distL="0" distR="0" wp14:anchorId="36E17A43" wp14:editId="6C5FF3FE">
            <wp:extent cx="5191850" cy="2524477"/>
            <wp:effectExtent l="0" t="0" r="8890" b="9525"/>
            <wp:docPr id="790441496" name="Picture 1" descr="A graph of a number of blue rectangular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441496" name="Picture 1" descr="A graph of a number of blue rectangular bars&#10;&#10;AI-generated content may be incorrect."/>
                    <pic:cNvPicPr/>
                  </pic:nvPicPr>
                  <pic:blipFill>
                    <a:blip r:embed="rId30"/>
                    <a:stretch>
                      <a:fillRect/>
                    </a:stretch>
                  </pic:blipFill>
                  <pic:spPr>
                    <a:xfrm>
                      <a:off x="0" y="0"/>
                      <a:ext cx="5191850" cy="2524477"/>
                    </a:xfrm>
                    <a:prstGeom prst="rect">
                      <a:avLst/>
                    </a:prstGeom>
                  </pic:spPr>
                </pic:pic>
              </a:graphicData>
            </a:graphic>
          </wp:inline>
        </w:drawing>
      </w:r>
    </w:p>
    <w:p w14:paraId="49DD422F" w14:textId="77777777" w:rsidR="00F33F5C" w:rsidRDefault="00F33F5C" w:rsidP="00C13128">
      <w:pPr>
        <w:rPr>
          <w:rFonts w:ascii="Mangal Pro" w:hAnsi="Mangal Pro" w:cs="Mangal Pro"/>
          <w:sz w:val="22"/>
          <w:szCs w:val="22"/>
        </w:rPr>
      </w:pPr>
    </w:p>
    <w:p w14:paraId="7F386EBA" w14:textId="74C6D7E8" w:rsidR="00127720" w:rsidRDefault="00127720" w:rsidP="00C13128">
      <w:pPr>
        <w:rPr>
          <w:rFonts w:ascii="Mangal Pro" w:hAnsi="Mangal Pro" w:cs="Mangal Pro"/>
          <w:sz w:val="22"/>
          <w:szCs w:val="22"/>
        </w:rPr>
      </w:pPr>
      <w:r w:rsidRPr="00127720">
        <w:rPr>
          <w:rFonts w:ascii="Mangal Pro" w:hAnsi="Mangal Pro" w:cs="Mangal Pro"/>
          <w:noProof/>
          <w:sz w:val="22"/>
          <w:szCs w:val="22"/>
        </w:rPr>
        <w:drawing>
          <wp:inline distT="0" distB="0" distL="0" distR="0" wp14:anchorId="0B55DFC9" wp14:editId="33887F49">
            <wp:extent cx="5943600" cy="2252980"/>
            <wp:effectExtent l="0" t="0" r="0" b="0"/>
            <wp:docPr id="47002679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026795" name="Picture 1" descr="A screenshot of a computer&#10;&#10;AI-generated content may be incorrect."/>
                    <pic:cNvPicPr/>
                  </pic:nvPicPr>
                  <pic:blipFill>
                    <a:blip r:embed="rId25"/>
                    <a:stretch>
                      <a:fillRect/>
                    </a:stretch>
                  </pic:blipFill>
                  <pic:spPr>
                    <a:xfrm>
                      <a:off x="0" y="0"/>
                      <a:ext cx="5943600" cy="2252980"/>
                    </a:xfrm>
                    <a:prstGeom prst="rect">
                      <a:avLst/>
                    </a:prstGeom>
                  </pic:spPr>
                </pic:pic>
              </a:graphicData>
            </a:graphic>
          </wp:inline>
        </w:drawing>
      </w:r>
    </w:p>
    <w:p w14:paraId="2782828A" w14:textId="0A154209" w:rsidR="00127720" w:rsidRPr="00BC39B8" w:rsidRDefault="00127720" w:rsidP="00C13128">
      <w:pPr>
        <w:rPr>
          <w:rFonts w:ascii="Mangal Pro" w:hAnsi="Mangal Pro" w:cs="Mangal Pro"/>
          <w:i/>
          <w:iCs/>
          <w:sz w:val="18"/>
          <w:szCs w:val="18"/>
        </w:rPr>
      </w:pPr>
      <w:r w:rsidRPr="00BC39B8">
        <w:rPr>
          <w:rFonts w:ascii="Mangal Pro" w:hAnsi="Mangal Pro" w:cs="Mangal Pro"/>
          <w:i/>
          <w:iCs/>
          <w:sz w:val="18"/>
          <w:szCs w:val="18"/>
        </w:rPr>
        <w:t xml:space="preserve">The table above shows that the Enrollment gap was closed for our Black/African American students. </w:t>
      </w:r>
    </w:p>
    <w:p w14:paraId="67F9CCD7" w14:textId="0EEB4A06" w:rsidR="00AB4ACA" w:rsidRPr="00AB4ACA" w:rsidRDefault="00FB4310" w:rsidP="00AB4ACA">
      <w:pPr>
        <w:rPr>
          <w:rFonts w:ascii="Mangal Pro" w:hAnsi="Mangal Pro" w:cs="Mangal Pro"/>
          <w:sz w:val="22"/>
          <w:szCs w:val="22"/>
        </w:rPr>
      </w:pPr>
      <w:r>
        <w:rPr>
          <w:noProof/>
        </w:rPr>
        <w:t>Key Strategies to Transfer Level English and Mathematics:</w:t>
      </w:r>
    </w:p>
    <w:p w14:paraId="72D29508" w14:textId="77777777" w:rsidR="00AB4ACA" w:rsidRPr="00AB4ACA" w:rsidRDefault="00AB4ACA" w:rsidP="00AB4ACA">
      <w:pPr>
        <w:pStyle w:val="ListParagraph"/>
        <w:rPr>
          <w:rFonts w:ascii="Mangal Pro" w:hAnsi="Mangal Pro" w:cs="Mangal Pro"/>
          <w:sz w:val="22"/>
          <w:szCs w:val="22"/>
        </w:rPr>
      </w:pPr>
    </w:p>
    <w:p w14:paraId="108EBEA5" w14:textId="4E89C210" w:rsidR="00C13128" w:rsidRDefault="00127720" w:rsidP="00BC39B8">
      <w:pPr>
        <w:pStyle w:val="ListParagraph"/>
        <w:numPr>
          <w:ilvl w:val="0"/>
          <w:numId w:val="8"/>
        </w:numPr>
        <w:spacing w:line="240" w:lineRule="auto"/>
        <w:rPr>
          <w:rFonts w:ascii="Mangal Pro" w:hAnsi="Mangal Pro" w:cs="Mangal Pro"/>
          <w:sz w:val="22"/>
          <w:szCs w:val="22"/>
        </w:rPr>
      </w:pPr>
      <w:r w:rsidRPr="00127720">
        <w:rPr>
          <w:rFonts w:ascii="Mangal Pro" w:hAnsi="Mangal Pro" w:cs="Mangal Pro"/>
          <w:b/>
          <w:bCs/>
          <w:sz w:val="22"/>
          <w:szCs w:val="22"/>
        </w:rPr>
        <w:t xml:space="preserve">Development/maintenance of </w:t>
      </w:r>
      <w:r w:rsidR="00235AA5">
        <w:rPr>
          <w:rFonts w:ascii="Mangal Pro" w:hAnsi="Mangal Pro" w:cs="Mangal Pro"/>
          <w:b/>
          <w:bCs/>
          <w:sz w:val="22"/>
          <w:szCs w:val="22"/>
        </w:rPr>
        <w:t>Major-specific</w:t>
      </w:r>
      <w:r w:rsidRPr="00127720">
        <w:rPr>
          <w:rFonts w:ascii="Mangal Pro" w:hAnsi="Mangal Pro" w:cs="Mangal Pro"/>
          <w:b/>
          <w:bCs/>
          <w:sz w:val="22"/>
          <w:szCs w:val="22"/>
        </w:rPr>
        <w:t>/recommended math courses</w:t>
      </w:r>
      <w:r>
        <w:rPr>
          <w:rFonts w:ascii="Mangal Pro" w:hAnsi="Mangal Pro" w:cs="Mangal Pro"/>
          <w:sz w:val="22"/>
          <w:szCs w:val="22"/>
        </w:rPr>
        <w:t xml:space="preserve">; </w:t>
      </w:r>
      <w:r w:rsidR="00FB4310" w:rsidRPr="00FB4310">
        <w:rPr>
          <w:rFonts w:ascii="Mangal Pro" w:hAnsi="Mangal Pro" w:cs="Mangal Pro"/>
          <w:sz w:val="22"/>
          <w:szCs w:val="22"/>
        </w:rPr>
        <w:t xml:space="preserve">will remain a priority to ensure students are placed in pathways that best support </w:t>
      </w:r>
      <w:r w:rsidR="00FB4310" w:rsidRPr="00FB4310">
        <w:rPr>
          <w:rFonts w:ascii="Mangal Pro" w:hAnsi="Mangal Pro" w:cs="Mangal Pro"/>
          <w:sz w:val="22"/>
          <w:szCs w:val="22"/>
        </w:rPr>
        <w:lastRenderedPageBreak/>
        <w:t xml:space="preserve">their academic and career goals. Continuous assessment and evaluation of student success in these courses will guide improvements, with particular attention to equity and completion outcomes. Progress will be reevaluated </w:t>
      </w:r>
      <w:r w:rsidR="000C3682" w:rsidRPr="00FB4310">
        <w:rPr>
          <w:rFonts w:ascii="Mangal Pro" w:hAnsi="Mangal Pro" w:cs="Mangal Pro"/>
          <w:sz w:val="22"/>
          <w:szCs w:val="22"/>
        </w:rPr>
        <w:t>considering</w:t>
      </w:r>
      <w:r w:rsidR="00FB4310" w:rsidRPr="00FB4310">
        <w:rPr>
          <w:rFonts w:ascii="Mangal Pro" w:hAnsi="Mangal Pro" w:cs="Mangal Pro"/>
          <w:sz w:val="22"/>
          <w:szCs w:val="22"/>
        </w:rPr>
        <w:t xml:space="preserve"> the </w:t>
      </w:r>
      <w:r w:rsidR="00FB4310" w:rsidRPr="000C3682">
        <w:rPr>
          <w:rFonts w:ascii="Mangal Pro" w:hAnsi="Mangal Pro" w:cs="Mangal Pro"/>
          <w:sz w:val="22"/>
          <w:szCs w:val="22"/>
        </w:rPr>
        <w:t>Math 102 revamp</w:t>
      </w:r>
      <w:r w:rsidR="00FB4310" w:rsidRPr="00FB4310">
        <w:rPr>
          <w:rFonts w:ascii="Mangal Pro" w:hAnsi="Mangal Pro" w:cs="Mangal Pro"/>
          <w:sz w:val="22"/>
          <w:szCs w:val="22"/>
        </w:rPr>
        <w:t xml:space="preserve"> and the implementation of </w:t>
      </w:r>
      <w:r w:rsidR="00FB4310" w:rsidRPr="000C3682">
        <w:rPr>
          <w:rFonts w:ascii="Mangal Pro" w:hAnsi="Mangal Pro" w:cs="Mangal Pro"/>
          <w:sz w:val="22"/>
          <w:szCs w:val="22"/>
        </w:rPr>
        <w:t>AB 1705/705</w:t>
      </w:r>
      <w:r w:rsidR="00FB4310" w:rsidRPr="00FB4310">
        <w:rPr>
          <w:rFonts w:ascii="Mangal Pro" w:hAnsi="Mangal Pro" w:cs="Mangal Pro"/>
          <w:sz w:val="22"/>
          <w:szCs w:val="22"/>
        </w:rPr>
        <w:t>, ensuring compliance with state mandates while maintaining academic rigor. Faculty collaboration, curriculum adjustments, and data</w:t>
      </w:r>
      <w:r w:rsidR="00FB4310" w:rsidRPr="00FB4310">
        <w:rPr>
          <w:rFonts w:ascii="Mangal Pro" w:hAnsi="Mangal Pro" w:cs="Mangal Pro"/>
          <w:sz w:val="22"/>
          <w:szCs w:val="22"/>
        </w:rPr>
        <w:noBreakHyphen/>
        <w:t xml:space="preserve">driven decision making will strengthen course relevance, improve retention, and enhance overall student achievement in </w:t>
      </w:r>
      <w:r w:rsidR="009A248F" w:rsidRPr="00FB4310">
        <w:rPr>
          <w:rFonts w:ascii="Mangal Pro" w:hAnsi="Mangal Pro" w:cs="Mangal Pro"/>
          <w:sz w:val="22"/>
          <w:szCs w:val="22"/>
        </w:rPr>
        <w:t>mathematics.</w:t>
      </w:r>
      <w:r w:rsidR="009A248F">
        <w:rPr>
          <w:rFonts w:ascii="Mangal Pro" w:hAnsi="Mangal Pro" w:cs="Mangal Pro"/>
          <w:sz w:val="22"/>
          <w:szCs w:val="22"/>
        </w:rPr>
        <w:t xml:space="preserve"> Continue</w:t>
      </w:r>
      <w:r>
        <w:rPr>
          <w:rFonts w:ascii="Mangal Pro" w:hAnsi="Mangal Pro" w:cs="Mangal Pro"/>
          <w:sz w:val="22"/>
          <w:szCs w:val="22"/>
        </w:rPr>
        <w:t xml:space="preserve"> to assess and evaluate </w:t>
      </w:r>
      <w:r w:rsidR="00235AA5">
        <w:rPr>
          <w:rFonts w:ascii="Mangal Pro" w:hAnsi="Mangal Pro" w:cs="Mangal Pro"/>
          <w:sz w:val="22"/>
          <w:szCs w:val="22"/>
        </w:rPr>
        <w:t xml:space="preserve">the </w:t>
      </w:r>
      <w:r>
        <w:rPr>
          <w:rFonts w:ascii="Mangal Pro" w:hAnsi="Mangal Pro" w:cs="Mangal Pro"/>
          <w:sz w:val="22"/>
          <w:szCs w:val="22"/>
        </w:rPr>
        <w:t xml:space="preserve">effectiveness and success of students in respective math courses. </w:t>
      </w:r>
      <w:r w:rsidR="000F4C5D">
        <w:rPr>
          <w:rFonts w:ascii="Mangal Pro" w:hAnsi="Mangal Pro" w:cs="Mangal Pro"/>
          <w:sz w:val="22"/>
          <w:szCs w:val="22"/>
        </w:rPr>
        <w:t xml:space="preserve">The mathematics department alongside Institutional Research will conduct focus groups with enrolled students each semester to gather feedback on course design, instructional support, and overall learning experience. </w:t>
      </w:r>
    </w:p>
    <w:p w14:paraId="68CFF641" w14:textId="3E57941D" w:rsidR="009A248F" w:rsidRPr="009A248F" w:rsidRDefault="00127720" w:rsidP="009A248F">
      <w:pPr>
        <w:pStyle w:val="ListParagraph"/>
        <w:numPr>
          <w:ilvl w:val="0"/>
          <w:numId w:val="8"/>
        </w:numPr>
        <w:rPr>
          <w:rFonts w:ascii="Mangal Pro" w:hAnsi="Mangal Pro" w:cs="Mangal Pro"/>
          <w:sz w:val="22"/>
          <w:szCs w:val="22"/>
        </w:rPr>
      </w:pPr>
      <w:r w:rsidRPr="0041320E">
        <w:rPr>
          <w:rFonts w:ascii="Mangal Pro" w:hAnsi="Mangal Pro" w:cs="Mangal Pro"/>
          <w:b/>
          <w:bCs/>
          <w:sz w:val="22"/>
          <w:szCs w:val="22"/>
        </w:rPr>
        <w:t xml:space="preserve">Co-Requisite English </w:t>
      </w:r>
      <w:r w:rsidR="0041320E" w:rsidRPr="0041320E">
        <w:rPr>
          <w:rFonts w:ascii="Mangal Pro" w:hAnsi="Mangal Pro" w:cs="Mangal Pro"/>
          <w:b/>
          <w:bCs/>
          <w:sz w:val="22"/>
          <w:szCs w:val="22"/>
        </w:rPr>
        <w:t>course:</w:t>
      </w:r>
      <w:r>
        <w:rPr>
          <w:rFonts w:ascii="Mangal Pro" w:hAnsi="Mangal Pro" w:cs="Mangal Pro"/>
          <w:sz w:val="22"/>
          <w:szCs w:val="22"/>
        </w:rPr>
        <w:t xml:space="preserve"> </w:t>
      </w:r>
      <w:r w:rsidR="009A248F" w:rsidRPr="009A248F">
        <w:rPr>
          <w:rFonts w:ascii="Mangal Pro" w:hAnsi="Mangal Pro" w:cs="Mangal Pro"/>
          <w:sz w:val="22"/>
          <w:szCs w:val="22"/>
        </w:rPr>
        <w:t>will be continuously evaluated to measure their effectiveness and impact on student success. These courses, designed to provide additional academic support while students complete transfer</w:t>
      </w:r>
      <w:r w:rsidR="009A248F" w:rsidRPr="009A248F">
        <w:rPr>
          <w:rFonts w:ascii="Mangal Pro" w:hAnsi="Mangal Pro" w:cs="Mangal Pro"/>
          <w:sz w:val="22"/>
          <w:szCs w:val="22"/>
        </w:rPr>
        <w:noBreakHyphen/>
        <w:t>level English, are critical in meeting the requirements of AB 1705/705. Evaluation will include tracking student completion rates, persistence, and performance outcomes, while also identifying equity gaps among diverse populations. Faculty collaboration and curriculum review will ensure that instructional strategies remain responsive to student needs.</w:t>
      </w:r>
      <w:r w:rsidR="009A248F">
        <w:rPr>
          <w:rFonts w:ascii="Mangal Pro" w:hAnsi="Mangal Pro" w:cs="Mangal Pro"/>
          <w:sz w:val="22"/>
          <w:szCs w:val="22"/>
        </w:rPr>
        <w:t xml:space="preserve"> English department alongside Institutional Research will conduct focus groups with enrolled students each semester to gather feedback on course design, instructional support, and overall learning experience. </w:t>
      </w:r>
    </w:p>
    <w:p w14:paraId="3C284E80" w14:textId="2C132443" w:rsidR="00C13128" w:rsidRDefault="00C13128" w:rsidP="000F4C5D">
      <w:pPr>
        <w:pStyle w:val="ListParagraph"/>
        <w:rPr>
          <w:rFonts w:ascii="Mangal Pro" w:hAnsi="Mangal Pro" w:cs="Mangal Pro"/>
          <w:sz w:val="22"/>
          <w:szCs w:val="22"/>
        </w:rPr>
      </w:pPr>
    </w:p>
    <w:p w14:paraId="73ED6ACF" w14:textId="534DEBC1" w:rsidR="0041320E" w:rsidRPr="000F4C5D" w:rsidRDefault="000F4C5D" w:rsidP="000F4C5D">
      <w:pPr>
        <w:pStyle w:val="ListParagraph"/>
        <w:numPr>
          <w:ilvl w:val="0"/>
          <w:numId w:val="8"/>
        </w:numPr>
        <w:rPr>
          <w:rFonts w:ascii="Mangal Pro" w:hAnsi="Mangal Pro" w:cs="Mangal Pro"/>
          <w:sz w:val="22"/>
          <w:szCs w:val="22"/>
        </w:rPr>
      </w:pPr>
      <w:r>
        <w:rPr>
          <w:rFonts w:ascii="Mangal Pro" w:hAnsi="Mangal Pro" w:cs="Mangal Pro"/>
          <w:b/>
          <w:bCs/>
          <w:sz w:val="22"/>
          <w:szCs w:val="22"/>
        </w:rPr>
        <w:t xml:space="preserve">Strengthening </w:t>
      </w:r>
      <w:r w:rsidR="0041320E" w:rsidRPr="0041320E">
        <w:rPr>
          <w:rFonts w:ascii="Mangal Pro" w:hAnsi="Mangal Pro" w:cs="Mangal Pro"/>
          <w:b/>
          <w:bCs/>
          <w:sz w:val="22"/>
          <w:szCs w:val="22"/>
        </w:rPr>
        <w:t xml:space="preserve">“Intrusive Counseling practices”, </w:t>
      </w:r>
      <w:r w:rsidRPr="000F4C5D">
        <w:rPr>
          <w:rFonts w:ascii="Mangal Pro" w:hAnsi="Mangal Pro" w:cs="Mangal Pro"/>
          <w:sz w:val="22"/>
          <w:szCs w:val="22"/>
        </w:rPr>
        <w:t>will involve using data and technology to provide more hands</w:t>
      </w:r>
      <w:r w:rsidRPr="000F4C5D">
        <w:rPr>
          <w:rFonts w:ascii="Mangal Pro" w:hAnsi="Mangal Pro" w:cs="Mangal Pro"/>
          <w:sz w:val="22"/>
          <w:szCs w:val="22"/>
        </w:rPr>
        <w:noBreakHyphen/>
        <w:t xml:space="preserve">on support in education planning and registration. Counselors will play an active role in guiding students through </w:t>
      </w:r>
      <w:r>
        <w:rPr>
          <w:rFonts w:ascii="Mangal Pro" w:hAnsi="Mangal Pro" w:cs="Mangal Pro"/>
          <w:sz w:val="22"/>
          <w:szCs w:val="22"/>
        </w:rPr>
        <w:t>r</w:t>
      </w:r>
      <w:r w:rsidRPr="000F4C5D">
        <w:rPr>
          <w:rFonts w:ascii="Mangal Pro" w:hAnsi="Mangal Pro" w:cs="Mangal Pro"/>
          <w:sz w:val="22"/>
          <w:szCs w:val="22"/>
        </w:rPr>
        <w:t xml:space="preserve">egistration </w:t>
      </w:r>
      <w:r>
        <w:rPr>
          <w:rFonts w:ascii="Mangal Pro" w:hAnsi="Mangal Pro" w:cs="Mangal Pro"/>
          <w:sz w:val="22"/>
          <w:szCs w:val="22"/>
        </w:rPr>
        <w:t>l</w:t>
      </w:r>
      <w:r w:rsidRPr="000F4C5D">
        <w:rPr>
          <w:rFonts w:ascii="Mangal Pro" w:hAnsi="Mangal Pro" w:cs="Mangal Pro"/>
          <w:sz w:val="22"/>
          <w:szCs w:val="22"/>
        </w:rPr>
        <w:t xml:space="preserve">abs, conducting classroom visits, and collaborating closely with instructional faculty to ensure alignment between academic goals and course selection. Revisiting and refining the </w:t>
      </w:r>
      <w:r>
        <w:rPr>
          <w:rFonts w:ascii="Mangal Pro" w:hAnsi="Mangal Pro" w:cs="Mangal Pro"/>
          <w:sz w:val="22"/>
          <w:szCs w:val="22"/>
        </w:rPr>
        <w:t>counselor liaison model,</w:t>
      </w:r>
      <w:r w:rsidRPr="000F4C5D">
        <w:rPr>
          <w:rFonts w:ascii="Mangal Pro" w:hAnsi="Mangal Pro" w:cs="Mangal Pro"/>
          <w:sz w:val="22"/>
          <w:szCs w:val="22"/>
        </w:rPr>
        <w:t xml:space="preserve"> will help evaluate its effectiveness in fostering stronger student</w:t>
      </w:r>
      <w:r w:rsidRPr="000F4C5D">
        <w:rPr>
          <w:rFonts w:ascii="Mangal Pro" w:hAnsi="Mangal Pro" w:cs="Mangal Pro"/>
          <w:sz w:val="22"/>
          <w:szCs w:val="22"/>
        </w:rPr>
        <w:noBreakHyphen/>
        <w:t>counselor connections.</w:t>
      </w:r>
      <w:r>
        <w:rPr>
          <w:rFonts w:ascii="Mangal Pro" w:hAnsi="Mangal Pro" w:cs="Mangal Pro"/>
          <w:sz w:val="22"/>
          <w:szCs w:val="22"/>
        </w:rPr>
        <w:t xml:space="preserve"> Will </w:t>
      </w:r>
      <w:r>
        <w:rPr>
          <w:rFonts w:ascii="Mangal Pro" w:hAnsi="Mangal Pro" w:cs="Mangal Pro"/>
          <w:sz w:val="22"/>
          <w:szCs w:val="22"/>
        </w:rPr>
        <w:lastRenderedPageBreak/>
        <w:t>continue to track student persistence and registration completion rates each term, comparing outcomes for those engaged in intrusive counseling versus those who were not.</w:t>
      </w:r>
    </w:p>
    <w:p w14:paraId="667553E6" w14:textId="77777777" w:rsidR="00AB4ACA" w:rsidRDefault="00AB4ACA" w:rsidP="00AB4ACA">
      <w:pPr>
        <w:pStyle w:val="ListParagraph"/>
        <w:rPr>
          <w:rFonts w:ascii="Mangal Pro" w:hAnsi="Mangal Pro" w:cs="Mangal Pro"/>
          <w:sz w:val="22"/>
          <w:szCs w:val="22"/>
        </w:rPr>
      </w:pPr>
    </w:p>
    <w:p w14:paraId="368A6779" w14:textId="77777777" w:rsidR="00AB4ACA" w:rsidRPr="00AB4ACA" w:rsidRDefault="00AB4ACA" w:rsidP="00AB4ACA">
      <w:pPr>
        <w:pStyle w:val="ListParagraph"/>
        <w:rPr>
          <w:rFonts w:ascii="Mangal Pro" w:hAnsi="Mangal Pro" w:cs="Mangal Pro"/>
          <w:sz w:val="22"/>
          <w:szCs w:val="22"/>
        </w:rPr>
      </w:pPr>
    </w:p>
    <w:p w14:paraId="29105FA6" w14:textId="37D4B370" w:rsidR="000F4C5D" w:rsidRPr="000F4C5D" w:rsidRDefault="00565C84" w:rsidP="000F4C5D">
      <w:pPr>
        <w:pStyle w:val="ListParagraph"/>
        <w:numPr>
          <w:ilvl w:val="0"/>
          <w:numId w:val="8"/>
        </w:numPr>
        <w:rPr>
          <w:rFonts w:ascii="Mangal Pro" w:hAnsi="Mangal Pro" w:cs="Mangal Pro"/>
          <w:sz w:val="22"/>
          <w:szCs w:val="22"/>
        </w:rPr>
      </w:pPr>
      <w:r>
        <w:rPr>
          <w:rFonts w:ascii="Mangal Pro" w:hAnsi="Mangal Pro" w:cs="Mangal Pro"/>
          <w:b/>
          <w:bCs/>
          <w:sz w:val="22"/>
          <w:szCs w:val="22"/>
        </w:rPr>
        <w:t>Additional key strategy:</w:t>
      </w:r>
      <w:r>
        <w:rPr>
          <w:rFonts w:ascii="Mangal Pro" w:hAnsi="Mangal Pro" w:cs="Mangal Pro"/>
          <w:sz w:val="22"/>
          <w:szCs w:val="22"/>
        </w:rPr>
        <w:t xml:space="preserve"> expansion of cohort models</w:t>
      </w:r>
      <w:r w:rsidR="00235AA5">
        <w:rPr>
          <w:rFonts w:ascii="Mangal Pro" w:hAnsi="Mangal Pro" w:cs="Mangal Pro"/>
          <w:sz w:val="22"/>
          <w:szCs w:val="22"/>
        </w:rPr>
        <w:t>,</w:t>
      </w:r>
      <w:r>
        <w:rPr>
          <w:rFonts w:ascii="Mangal Pro" w:hAnsi="Mangal Pro" w:cs="Mangal Pro"/>
          <w:sz w:val="22"/>
          <w:szCs w:val="22"/>
        </w:rPr>
        <w:t xml:space="preserve"> options</w:t>
      </w:r>
      <w:r w:rsidR="00235AA5">
        <w:rPr>
          <w:rFonts w:ascii="Mangal Pro" w:hAnsi="Mangal Pro" w:cs="Mangal Pro"/>
          <w:sz w:val="22"/>
          <w:szCs w:val="22"/>
        </w:rPr>
        <w:t>,</w:t>
      </w:r>
      <w:r>
        <w:rPr>
          <w:rFonts w:ascii="Mangal Pro" w:hAnsi="Mangal Pro" w:cs="Mangal Pro"/>
          <w:sz w:val="22"/>
          <w:szCs w:val="22"/>
        </w:rPr>
        <w:t xml:space="preserve"> and offerings </w:t>
      </w:r>
      <w:r w:rsidR="000F4C5D" w:rsidRPr="000F4C5D">
        <w:rPr>
          <w:rFonts w:ascii="Mangal Pro" w:hAnsi="Mangal Pro" w:cs="Mangal Pro"/>
          <w:sz w:val="22"/>
          <w:szCs w:val="22"/>
        </w:rPr>
        <w:t>to provide students with structured learning communities that foster engagement, persistence, and completion. Cohorts allow students to progress together through linked courses, build peer support networks, and access targeted advising and counseling services. Expanding options will include developing cohorts for specific majors, transfer pathways, and special populations such as first</w:t>
      </w:r>
      <w:r w:rsidR="000F4C5D" w:rsidRPr="000F4C5D">
        <w:rPr>
          <w:rFonts w:ascii="Mangal Pro" w:hAnsi="Mangal Pro" w:cs="Mangal Pro"/>
          <w:sz w:val="22"/>
          <w:szCs w:val="22"/>
        </w:rPr>
        <w:noBreakHyphen/>
        <w:t>generation or underrepresented students. Faculty collaboration and intentional programming will strengthen the sense of belonging and academic readiness.</w:t>
      </w:r>
      <w:r w:rsidR="000F4C5D">
        <w:rPr>
          <w:rFonts w:ascii="Mangal Pro" w:hAnsi="Mangal Pro" w:cs="Mangal Pro"/>
          <w:sz w:val="22"/>
          <w:szCs w:val="22"/>
        </w:rPr>
        <w:t xml:space="preserve"> The departments will work collaboratively with Office of Institutional Research </w:t>
      </w:r>
      <w:r w:rsidR="00862D40">
        <w:rPr>
          <w:rFonts w:ascii="Mangal Pro" w:hAnsi="Mangal Pro" w:cs="Mangal Pro"/>
          <w:sz w:val="22"/>
          <w:szCs w:val="22"/>
        </w:rPr>
        <w:t>to monitor</w:t>
      </w:r>
      <w:r w:rsidR="000F4C5D">
        <w:rPr>
          <w:rFonts w:ascii="Mangal Pro" w:hAnsi="Mangal Pro" w:cs="Mangal Pro"/>
          <w:sz w:val="22"/>
          <w:szCs w:val="22"/>
        </w:rPr>
        <w:t xml:space="preserve"> retention and completion rates of cohort participants compared to non-cohort students each academic year. </w:t>
      </w:r>
    </w:p>
    <w:p w14:paraId="222054BF" w14:textId="462CC871" w:rsidR="00565C84" w:rsidRPr="00C13128" w:rsidRDefault="00565C84" w:rsidP="000F4C5D">
      <w:pPr>
        <w:pStyle w:val="ListParagraph"/>
        <w:rPr>
          <w:rFonts w:ascii="Mangal Pro" w:hAnsi="Mangal Pro" w:cs="Mangal Pro"/>
          <w:sz w:val="22"/>
          <w:szCs w:val="22"/>
        </w:rPr>
      </w:pPr>
    </w:p>
    <w:p w14:paraId="0B356B2C" w14:textId="77777777" w:rsidR="00FF130C" w:rsidRDefault="00FF130C" w:rsidP="00C13128">
      <w:pPr>
        <w:rPr>
          <w:rFonts w:ascii="Mangal Pro" w:hAnsi="Mangal Pro" w:cs="Mangal Pro"/>
          <w:b/>
          <w:bCs/>
          <w:sz w:val="22"/>
          <w:szCs w:val="22"/>
        </w:rPr>
      </w:pPr>
    </w:p>
    <w:p w14:paraId="1B106CB7" w14:textId="77777777" w:rsidR="00AB4ACA" w:rsidRDefault="00AB4ACA" w:rsidP="00C13128">
      <w:pPr>
        <w:rPr>
          <w:rFonts w:ascii="Mangal Pro" w:hAnsi="Mangal Pro" w:cs="Mangal Pro"/>
          <w:b/>
          <w:bCs/>
          <w:sz w:val="22"/>
          <w:szCs w:val="22"/>
        </w:rPr>
      </w:pPr>
    </w:p>
    <w:p w14:paraId="42DB864F" w14:textId="77777777" w:rsidR="002B3CE0" w:rsidRDefault="002B3CE0" w:rsidP="00C13128">
      <w:pPr>
        <w:rPr>
          <w:rFonts w:ascii="Mangal Pro" w:hAnsi="Mangal Pro" w:cs="Mangal Pro"/>
          <w:b/>
          <w:bCs/>
          <w:sz w:val="22"/>
          <w:szCs w:val="22"/>
        </w:rPr>
      </w:pPr>
    </w:p>
    <w:p w14:paraId="279AA4C6" w14:textId="77777777" w:rsidR="002B3CE0" w:rsidRDefault="002B3CE0" w:rsidP="00C13128">
      <w:pPr>
        <w:rPr>
          <w:rFonts w:ascii="Mangal Pro" w:hAnsi="Mangal Pro" w:cs="Mangal Pro"/>
          <w:b/>
          <w:bCs/>
          <w:sz w:val="22"/>
          <w:szCs w:val="22"/>
        </w:rPr>
      </w:pPr>
    </w:p>
    <w:p w14:paraId="63DD25A8" w14:textId="77777777" w:rsidR="002B3CE0" w:rsidRDefault="002B3CE0" w:rsidP="00C13128">
      <w:pPr>
        <w:rPr>
          <w:rFonts w:ascii="Mangal Pro" w:hAnsi="Mangal Pro" w:cs="Mangal Pro"/>
          <w:b/>
          <w:bCs/>
          <w:sz w:val="22"/>
          <w:szCs w:val="22"/>
        </w:rPr>
      </w:pPr>
    </w:p>
    <w:p w14:paraId="68C94A29" w14:textId="77777777" w:rsidR="002B3CE0" w:rsidRDefault="002B3CE0" w:rsidP="00C13128">
      <w:pPr>
        <w:rPr>
          <w:rFonts w:ascii="Mangal Pro" w:hAnsi="Mangal Pro" w:cs="Mangal Pro"/>
          <w:b/>
          <w:bCs/>
          <w:sz w:val="22"/>
          <w:szCs w:val="22"/>
        </w:rPr>
      </w:pPr>
    </w:p>
    <w:p w14:paraId="6FF217C6" w14:textId="77777777" w:rsidR="00F41619" w:rsidRDefault="00F41619" w:rsidP="00C13128">
      <w:pPr>
        <w:rPr>
          <w:rFonts w:ascii="Mangal Pro" w:hAnsi="Mangal Pro" w:cs="Mangal Pro"/>
          <w:b/>
          <w:bCs/>
          <w:sz w:val="22"/>
          <w:szCs w:val="22"/>
        </w:rPr>
      </w:pPr>
    </w:p>
    <w:p w14:paraId="1685C7FC" w14:textId="77777777" w:rsidR="00F41619" w:rsidRDefault="00F41619" w:rsidP="00C13128">
      <w:pPr>
        <w:rPr>
          <w:rFonts w:ascii="Mangal Pro" w:hAnsi="Mangal Pro" w:cs="Mangal Pro"/>
          <w:b/>
          <w:bCs/>
          <w:sz w:val="22"/>
          <w:szCs w:val="22"/>
        </w:rPr>
      </w:pPr>
    </w:p>
    <w:p w14:paraId="5FEAE957" w14:textId="68AB77D5" w:rsidR="00E640EB" w:rsidRPr="00E640EB" w:rsidRDefault="00E4082D" w:rsidP="00C13128">
      <w:pPr>
        <w:rPr>
          <w:rFonts w:ascii="Mangal Pro" w:hAnsi="Mangal Pro" w:cs="Mangal Pro"/>
          <w:sz w:val="36"/>
          <w:szCs w:val="36"/>
        </w:rPr>
      </w:pPr>
      <w:r>
        <w:rPr>
          <w:rFonts w:ascii="Mangal Pro" w:hAnsi="Mangal Pro" w:cs="Mangal Pro"/>
          <w:b/>
          <w:bCs/>
          <w:sz w:val="36"/>
          <w:szCs w:val="36"/>
        </w:rPr>
        <w:lastRenderedPageBreak/>
        <w:t>S</w:t>
      </w:r>
      <w:r w:rsidR="008410D0" w:rsidRPr="00E640EB">
        <w:rPr>
          <w:rFonts w:ascii="Mangal Pro" w:hAnsi="Mangal Pro" w:cs="Mangal Pro"/>
          <w:b/>
          <w:bCs/>
          <w:sz w:val="36"/>
          <w:szCs w:val="36"/>
        </w:rPr>
        <w:t>ection 8: M</w:t>
      </w:r>
      <w:r w:rsidR="002C290C" w:rsidRPr="00E640EB">
        <w:rPr>
          <w:rFonts w:ascii="Mangal Pro" w:hAnsi="Mangal Pro" w:cs="Mangal Pro"/>
          <w:b/>
          <w:bCs/>
          <w:sz w:val="36"/>
          <w:szCs w:val="36"/>
        </w:rPr>
        <w:t xml:space="preserve">etric </w:t>
      </w:r>
      <w:r w:rsidR="00E640EB" w:rsidRPr="00E640EB">
        <w:rPr>
          <w:rFonts w:ascii="Mangal Pro" w:hAnsi="Mangal Pro" w:cs="Mangal Pro"/>
          <w:b/>
          <w:bCs/>
          <w:sz w:val="36"/>
          <w:szCs w:val="36"/>
        </w:rPr>
        <w:t>3: Term</w:t>
      </w:r>
      <w:r w:rsidR="002C290C" w:rsidRPr="00E640EB">
        <w:rPr>
          <w:rFonts w:ascii="Mangal Pro" w:hAnsi="Mangal Pro" w:cs="Mangal Pro"/>
          <w:b/>
          <w:bCs/>
          <w:sz w:val="36"/>
          <w:szCs w:val="36"/>
        </w:rPr>
        <w:t xml:space="preserve"> to Term Persistence </w:t>
      </w:r>
    </w:p>
    <w:p w14:paraId="123083D0" w14:textId="73B4C0A2" w:rsidR="002C290C" w:rsidRDefault="00E640EB" w:rsidP="00C13128">
      <w:pPr>
        <w:rPr>
          <w:rFonts w:ascii="Mangal Pro" w:hAnsi="Mangal Pro" w:cs="Mangal Pro"/>
          <w:sz w:val="22"/>
          <w:szCs w:val="22"/>
        </w:rPr>
      </w:pPr>
      <w:r>
        <w:rPr>
          <w:rFonts w:ascii="Mangal Pro" w:hAnsi="Mangal Pro" w:cs="Mangal Pro"/>
          <w:sz w:val="22"/>
          <w:szCs w:val="22"/>
        </w:rPr>
        <w:t>T</w:t>
      </w:r>
      <w:r w:rsidR="002C290C">
        <w:rPr>
          <w:rFonts w:ascii="Mangal Pro" w:hAnsi="Mangal Pro" w:cs="Mangal Pro"/>
          <w:sz w:val="22"/>
          <w:szCs w:val="22"/>
        </w:rPr>
        <w:t>he percentage of students who persist from their first primary term (fall or spring) to their second primary term.</w:t>
      </w:r>
    </w:p>
    <w:p w14:paraId="6C589BE2" w14:textId="361B6398" w:rsidR="0099156A" w:rsidRDefault="00A55900" w:rsidP="00C13128">
      <w:pPr>
        <w:rPr>
          <w:rFonts w:ascii="Mangal Pro" w:hAnsi="Mangal Pro" w:cs="Mangal Pro"/>
          <w:sz w:val="22"/>
          <w:szCs w:val="22"/>
        </w:rPr>
      </w:pPr>
      <w:r w:rsidRPr="00A55900">
        <w:rPr>
          <w:rFonts w:ascii="Mangal Pro" w:hAnsi="Mangal Pro" w:cs="Mangal Pro"/>
          <w:noProof/>
          <w:sz w:val="22"/>
          <w:szCs w:val="22"/>
        </w:rPr>
        <w:drawing>
          <wp:inline distT="0" distB="0" distL="0" distR="0" wp14:anchorId="53C89A01" wp14:editId="59FC5B89">
            <wp:extent cx="5201376" cy="2457793"/>
            <wp:effectExtent l="0" t="0" r="0" b="0"/>
            <wp:docPr id="922609490" name="Picture 1" descr="A graph of a number of colum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609490" name="Picture 1" descr="A graph of a number of columns&#10;&#10;AI-generated content may be incorrect."/>
                    <pic:cNvPicPr/>
                  </pic:nvPicPr>
                  <pic:blipFill>
                    <a:blip r:embed="rId31"/>
                    <a:stretch>
                      <a:fillRect/>
                    </a:stretch>
                  </pic:blipFill>
                  <pic:spPr>
                    <a:xfrm>
                      <a:off x="0" y="0"/>
                      <a:ext cx="5201376" cy="2457793"/>
                    </a:xfrm>
                    <a:prstGeom prst="rect">
                      <a:avLst/>
                    </a:prstGeom>
                  </pic:spPr>
                </pic:pic>
              </a:graphicData>
            </a:graphic>
          </wp:inline>
        </w:drawing>
      </w:r>
    </w:p>
    <w:p w14:paraId="0CC7039F" w14:textId="77777777" w:rsidR="0099156A" w:rsidRDefault="0099156A" w:rsidP="00C13128">
      <w:pPr>
        <w:rPr>
          <w:rFonts w:ascii="Mangal Pro" w:hAnsi="Mangal Pro" w:cs="Mangal Pro"/>
          <w:sz w:val="22"/>
          <w:szCs w:val="22"/>
        </w:rPr>
      </w:pPr>
    </w:p>
    <w:p w14:paraId="557825DA" w14:textId="0F7641FC" w:rsidR="0041320E" w:rsidRDefault="0041320E" w:rsidP="00C13128">
      <w:pPr>
        <w:rPr>
          <w:rFonts w:ascii="Mangal Pro" w:hAnsi="Mangal Pro" w:cs="Mangal Pro"/>
          <w:sz w:val="22"/>
          <w:szCs w:val="22"/>
        </w:rPr>
      </w:pPr>
      <w:r w:rsidRPr="0041320E">
        <w:rPr>
          <w:rFonts w:ascii="Mangal Pro" w:hAnsi="Mangal Pro" w:cs="Mangal Pro"/>
          <w:noProof/>
          <w:sz w:val="22"/>
          <w:szCs w:val="22"/>
        </w:rPr>
        <w:drawing>
          <wp:inline distT="0" distB="0" distL="0" distR="0" wp14:anchorId="46CE2136" wp14:editId="452CB21C">
            <wp:extent cx="5943600" cy="2232025"/>
            <wp:effectExtent l="0" t="0" r="0" b="0"/>
            <wp:docPr id="53797452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974526" name="Picture 1" descr="A screenshot of a computer&#10;&#10;AI-generated content may be incorrect."/>
                    <pic:cNvPicPr/>
                  </pic:nvPicPr>
                  <pic:blipFill>
                    <a:blip r:embed="rId26"/>
                    <a:stretch>
                      <a:fillRect/>
                    </a:stretch>
                  </pic:blipFill>
                  <pic:spPr>
                    <a:xfrm>
                      <a:off x="0" y="0"/>
                      <a:ext cx="5943600" cy="2232025"/>
                    </a:xfrm>
                    <a:prstGeom prst="rect">
                      <a:avLst/>
                    </a:prstGeom>
                  </pic:spPr>
                </pic:pic>
              </a:graphicData>
            </a:graphic>
          </wp:inline>
        </w:drawing>
      </w:r>
    </w:p>
    <w:p w14:paraId="158582E5" w14:textId="75F4972B" w:rsidR="0041320E" w:rsidRPr="00BC39B8" w:rsidRDefault="0041320E" w:rsidP="00C13128">
      <w:pPr>
        <w:rPr>
          <w:rFonts w:ascii="Mangal Pro" w:hAnsi="Mangal Pro" w:cs="Mangal Pro"/>
          <w:b/>
          <w:bCs/>
          <w:i/>
          <w:iCs/>
          <w:sz w:val="18"/>
          <w:szCs w:val="18"/>
        </w:rPr>
      </w:pPr>
      <w:r w:rsidRPr="00BC39B8">
        <w:rPr>
          <w:rFonts w:ascii="Mangal Pro" w:hAnsi="Mangal Pro" w:cs="Mangal Pro"/>
          <w:i/>
          <w:iCs/>
          <w:sz w:val="18"/>
          <w:szCs w:val="18"/>
        </w:rPr>
        <w:t xml:space="preserve">In </w:t>
      </w:r>
      <w:r w:rsidRPr="00BC39B8">
        <w:rPr>
          <w:rFonts w:ascii="Mangal Pro" w:hAnsi="Mangal Pro" w:cs="Mangal Pro"/>
          <w:b/>
          <w:bCs/>
          <w:i/>
          <w:iCs/>
          <w:sz w:val="18"/>
          <w:szCs w:val="18"/>
        </w:rPr>
        <w:t>2024-2025</w:t>
      </w:r>
      <w:r w:rsidRPr="00BC39B8">
        <w:rPr>
          <w:rFonts w:ascii="Mangal Pro" w:hAnsi="Mangal Pro" w:cs="Mangal Pro"/>
          <w:i/>
          <w:iCs/>
          <w:sz w:val="18"/>
          <w:szCs w:val="18"/>
        </w:rPr>
        <w:t xml:space="preserve">, </w:t>
      </w:r>
      <w:r w:rsidRPr="00BC39B8">
        <w:rPr>
          <w:rFonts w:ascii="Mangal Pro" w:hAnsi="Mangal Pro" w:cs="Mangal Pro"/>
          <w:b/>
          <w:bCs/>
          <w:i/>
          <w:iCs/>
          <w:sz w:val="18"/>
          <w:szCs w:val="18"/>
        </w:rPr>
        <w:t>54.0%</w:t>
      </w:r>
      <w:r w:rsidRPr="00BC39B8">
        <w:rPr>
          <w:rFonts w:ascii="Mangal Pro" w:hAnsi="Mangal Pro" w:cs="Mangal Pro"/>
          <w:i/>
          <w:iCs/>
          <w:sz w:val="18"/>
          <w:szCs w:val="18"/>
        </w:rPr>
        <w:t xml:space="preserve"> of the</w:t>
      </w:r>
      <w:r w:rsidRPr="00BC39B8">
        <w:rPr>
          <w:rFonts w:ascii="Mangal Pro" w:hAnsi="Mangal Pro" w:cs="Mangal Pro"/>
          <w:b/>
          <w:bCs/>
          <w:i/>
          <w:iCs/>
          <w:sz w:val="18"/>
          <w:szCs w:val="18"/>
        </w:rPr>
        <w:t xml:space="preserve"> 524</w:t>
      </w:r>
      <w:r w:rsidRPr="00BC39B8">
        <w:rPr>
          <w:rFonts w:ascii="Mangal Pro" w:hAnsi="Mangal Pro" w:cs="Mangal Pro"/>
          <w:i/>
          <w:iCs/>
          <w:sz w:val="18"/>
          <w:szCs w:val="18"/>
        </w:rPr>
        <w:t xml:space="preserve"> first-time </w:t>
      </w:r>
      <w:r w:rsidRPr="00BC39B8">
        <w:rPr>
          <w:rFonts w:ascii="Mangal Pro" w:hAnsi="Mangal Pro" w:cs="Mangal Pro"/>
          <w:b/>
          <w:bCs/>
          <w:i/>
          <w:iCs/>
          <w:sz w:val="18"/>
          <w:szCs w:val="18"/>
        </w:rPr>
        <w:t>Black/African American</w:t>
      </w:r>
      <w:r w:rsidRPr="00BC39B8">
        <w:rPr>
          <w:rFonts w:ascii="Mangal Pro" w:hAnsi="Mangal Pro" w:cs="Mangal Pro"/>
          <w:i/>
          <w:iCs/>
          <w:sz w:val="18"/>
          <w:szCs w:val="18"/>
        </w:rPr>
        <w:t xml:space="preserve"> students persisted from their first primary term (either Fall or Spring) to the next immediate primary term, resulting in </w:t>
      </w:r>
      <w:r w:rsidR="00FF130C" w:rsidRPr="00BC39B8">
        <w:rPr>
          <w:rFonts w:ascii="Mangal Pro" w:hAnsi="Mangal Pro" w:cs="Mangal Pro"/>
          <w:i/>
          <w:iCs/>
          <w:sz w:val="18"/>
          <w:szCs w:val="18"/>
        </w:rPr>
        <w:t xml:space="preserve">an </w:t>
      </w:r>
      <w:r w:rsidRPr="00BC39B8">
        <w:rPr>
          <w:rFonts w:ascii="Mangal Pro" w:hAnsi="Mangal Pro" w:cs="Mangal Pro"/>
          <w:b/>
          <w:bCs/>
          <w:i/>
          <w:iCs/>
          <w:sz w:val="18"/>
          <w:szCs w:val="18"/>
        </w:rPr>
        <w:t>observable disproportionate impact</w:t>
      </w:r>
      <w:r w:rsidRPr="00BC39B8">
        <w:rPr>
          <w:rFonts w:ascii="Mangal Pro" w:hAnsi="Mangal Pro" w:cs="Mangal Pro"/>
          <w:i/>
          <w:iCs/>
          <w:sz w:val="18"/>
          <w:szCs w:val="18"/>
        </w:rPr>
        <w:t xml:space="preserve">. </w:t>
      </w:r>
    </w:p>
    <w:p w14:paraId="41227E88" w14:textId="31F89F55" w:rsidR="00811E1F" w:rsidRPr="00862D40" w:rsidRDefault="00862D40" w:rsidP="00C13128">
      <w:pPr>
        <w:rPr>
          <w:rFonts w:ascii="Mangal Pro" w:hAnsi="Mangal Pro" w:cs="Mangal Pro"/>
          <w:sz w:val="22"/>
          <w:szCs w:val="22"/>
        </w:rPr>
      </w:pPr>
      <w:r>
        <w:rPr>
          <w:rFonts w:ascii="Mangal Pro" w:hAnsi="Mangal Pro" w:cs="Mangal Pro"/>
          <w:sz w:val="22"/>
          <w:szCs w:val="22"/>
        </w:rPr>
        <w:t>Key Strategies for Term-to-Term Persistence:</w:t>
      </w:r>
    </w:p>
    <w:p w14:paraId="3D13A3F1" w14:textId="7BB83837" w:rsidR="002C290C" w:rsidRPr="00FA6779" w:rsidRDefault="00FA6779" w:rsidP="00A41ADB">
      <w:pPr>
        <w:pStyle w:val="ListParagraph"/>
        <w:numPr>
          <w:ilvl w:val="0"/>
          <w:numId w:val="10"/>
        </w:numPr>
        <w:rPr>
          <w:rFonts w:ascii="Mangal Pro" w:hAnsi="Mangal Pro" w:cs="Mangal Pro"/>
          <w:b/>
          <w:bCs/>
          <w:sz w:val="22"/>
          <w:szCs w:val="22"/>
        </w:rPr>
      </w:pPr>
      <w:r>
        <w:rPr>
          <w:rFonts w:ascii="Mangal Pro" w:hAnsi="Mangal Pro" w:cs="Mangal Pro"/>
          <w:b/>
          <w:bCs/>
          <w:sz w:val="22"/>
          <w:szCs w:val="22"/>
        </w:rPr>
        <w:lastRenderedPageBreak/>
        <w:t>Specialized Programs Information Sessions and Connecting Students to Support Programs and Services</w:t>
      </w:r>
      <w:r w:rsidR="00862D40">
        <w:rPr>
          <w:rFonts w:ascii="Mangal Pro" w:hAnsi="Mangal Pro" w:cs="Mangal Pro"/>
          <w:b/>
          <w:bCs/>
          <w:sz w:val="22"/>
          <w:szCs w:val="22"/>
        </w:rPr>
        <w:t xml:space="preserve">: </w:t>
      </w:r>
      <w:r w:rsidR="00862D40">
        <w:rPr>
          <w:rFonts w:ascii="Mangal Pro" w:hAnsi="Mangal Pro" w:cs="Mangal Pro"/>
          <w:sz w:val="22"/>
          <w:szCs w:val="22"/>
        </w:rPr>
        <w:t>will be expanded to intentionally connect students with campus resources, support programs, and services early and often. Since 80% of students are not affiliated with specialized programs, these sessions will maximize “in-reach” potential by proactively engaging students who may otherwise miss critical opportunities. Counselors, faculty, and program staff will collaborate to deliver presentations, workshops, and resource fairs that highlight academic support, financial aid, and student success initiatives.</w:t>
      </w:r>
      <w:r w:rsidR="00B52173">
        <w:rPr>
          <w:rFonts w:ascii="Mangal Pro" w:hAnsi="Mangal Pro" w:cs="Mangal Pro"/>
          <w:sz w:val="22"/>
          <w:szCs w:val="22"/>
        </w:rPr>
        <w:t xml:space="preserve"> </w:t>
      </w:r>
      <w:r w:rsidR="005E4E8B">
        <w:rPr>
          <w:rFonts w:ascii="Mangal Pro" w:hAnsi="Mangal Pro" w:cs="Mangal Pro"/>
          <w:sz w:val="22"/>
          <w:szCs w:val="22"/>
        </w:rPr>
        <w:t>To measure success, departments and divisions will work collaboratively with Institutional Research to track on how many students joined or utilized support programs after attending sessions.</w:t>
      </w:r>
      <w:r w:rsidR="00937F9A">
        <w:rPr>
          <w:rFonts w:ascii="Mangal Pro" w:hAnsi="Mangal Pro" w:cs="Mangal Pro"/>
          <w:sz w:val="22"/>
          <w:szCs w:val="22"/>
        </w:rPr>
        <w:t xml:space="preserve"> </w:t>
      </w:r>
    </w:p>
    <w:p w14:paraId="5F82A0CB" w14:textId="77777777" w:rsidR="00FA6779" w:rsidRPr="00937F9A" w:rsidRDefault="00FA6779" w:rsidP="00FA6779">
      <w:pPr>
        <w:pStyle w:val="ListParagraph"/>
        <w:rPr>
          <w:rFonts w:ascii="Mangal Pro" w:hAnsi="Mangal Pro" w:cs="Mangal Pro"/>
          <w:b/>
          <w:bCs/>
          <w:sz w:val="22"/>
          <w:szCs w:val="22"/>
        </w:rPr>
      </w:pPr>
    </w:p>
    <w:p w14:paraId="3B596FE1" w14:textId="3DB45903" w:rsidR="005E4E8B" w:rsidRDefault="0041320E" w:rsidP="005E4E8B">
      <w:pPr>
        <w:pStyle w:val="ListParagraph"/>
        <w:numPr>
          <w:ilvl w:val="0"/>
          <w:numId w:val="10"/>
        </w:numPr>
        <w:rPr>
          <w:rFonts w:ascii="Mangal Pro" w:hAnsi="Mangal Pro" w:cs="Mangal Pro"/>
          <w:b/>
          <w:bCs/>
          <w:sz w:val="22"/>
          <w:szCs w:val="22"/>
        </w:rPr>
      </w:pPr>
      <w:r w:rsidRPr="00FA6779">
        <w:rPr>
          <w:rFonts w:ascii="Mangal Pro" w:hAnsi="Mangal Pro" w:cs="Mangal Pro"/>
          <w:b/>
          <w:bCs/>
          <w:sz w:val="22"/>
          <w:szCs w:val="22"/>
        </w:rPr>
        <w:t>Continue</w:t>
      </w:r>
      <w:r w:rsidR="00EF08AA" w:rsidRPr="00FA6779">
        <w:rPr>
          <w:rFonts w:ascii="Mangal Pro" w:hAnsi="Mangal Pro" w:cs="Mangal Pro"/>
          <w:b/>
          <w:bCs/>
          <w:sz w:val="22"/>
          <w:szCs w:val="22"/>
        </w:rPr>
        <w:t xml:space="preserve"> to</w:t>
      </w:r>
      <w:r w:rsidRPr="00FA6779">
        <w:rPr>
          <w:rFonts w:ascii="Mangal Pro" w:hAnsi="Mangal Pro" w:cs="Mangal Pro"/>
          <w:b/>
          <w:bCs/>
          <w:sz w:val="22"/>
          <w:szCs w:val="22"/>
        </w:rPr>
        <w:t xml:space="preserve"> </w:t>
      </w:r>
      <w:r w:rsidR="00FA6779">
        <w:rPr>
          <w:rFonts w:ascii="Mangal Pro" w:hAnsi="Mangal Pro" w:cs="Mangal Pro"/>
          <w:b/>
          <w:bCs/>
          <w:sz w:val="22"/>
          <w:szCs w:val="22"/>
        </w:rPr>
        <w:t xml:space="preserve">Offer </w:t>
      </w:r>
      <w:r w:rsidRPr="00FA6779">
        <w:rPr>
          <w:rFonts w:ascii="Mangal Pro" w:hAnsi="Mangal Pro" w:cs="Mangal Pro"/>
          <w:b/>
          <w:bCs/>
          <w:sz w:val="22"/>
          <w:szCs w:val="22"/>
        </w:rPr>
        <w:t xml:space="preserve">and </w:t>
      </w:r>
      <w:r w:rsidR="00FA6779">
        <w:rPr>
          <w:rFonts w:ascii="Mangal Pro" w:hAnsi="Mangal Pro" w:cs="Mangal Pro"/>
          <w:b/>
          <w:bCs/>
          <w:sz w:val="22"/>
          <w:szCs w:val="22"/>
        </w:rPr>
        <w:t>R</w:t>
      </w:r>
      <w:r w:rsidRPr="00FA6779">
        <w:rPr>
          <w:rFonts w:ascii="Mangal Pro" w:hAnsi="Mangal Pro" w:cs="Mangal Pro"/>
          <w:b/>
          <w:bCs/>
          <w:sz w:val="22"/>
          <w:szCs w:val="22"/>
        </w:rPr>
        <w:t xml:space="preserve">einforce intentional Registration Season Efforts: </w:t>
      </w:r>
      <w:r w:rsidR="005E4E8B" w:rsidRPr="00FA6779">
        <w:rPr>
          <w:rFonts w:ascii="Mangal Pro" w:hAnsi="Mangal Pro" w:cs="Mangal Pro"/>
          <w:sz w:val="22"/>
          <w:szCs w:val="22"/>
        </w:rPr>
        <w:t xml:space="preserve">will ensure students receive timely, proactive support to complete the enrollment process. Activities such as the Registration Block Parties will create welcoming, community-focused events where students can finalize schedules, meet counselors, and access resources in a supportive environment. Technology tools such as Starfish will be leveraged to track student progress, send reminders, and flag those needing additional outreach. Counselors will employ intrusive practices, guiding </w:t>
      </w:r>
      <w:r w:rsidR="00FA6779" w:rsidRPr="00FA6779">
        <w:rPr>
          <w:rFonts w:ascii="Mangal Pro" w:hAnsi="Mangal Pro" w:cs="Mangal Pro"/>
          <w:sz w:val="22"/>
          <w:szCs w:val="22"/>
        </w:rPr>
        <w:t>students</w:t>
      </w:r>
      <w:r w:rsidR="005E4E8B" w:rsidRPr="00FA6779">
        <w:rPr>
          <w:rFonts w:ascii="Mangal Pro" w:hAnsi="Mangal Pro" w:cs="Mangal Pro"/>
          <w:sz w:val="22"/>
          <w:szCs w:val="22"/>
        </w:rPr>
        <w:t xml:space="preserve"> step-by-step through registration and connecting them to enrollment labs for hands-on assistance. These combined strategies foster engagement, reduce barriers, and increase successful registration rates across diverse student populations. </w:t>
      </w:r>
    </w:p>
    <w:p w14:paraId="06B8E6BB" w14:textId="77777777" w:rsidR="00FA6779" w:rsidRPr="00FA6779" w:rsidRDefault="00FA6779" w:rsidP="00FA6779">
      <w:pPr>
        <w:pStyle w:val="ListParagraph"/>
        <w:rPr>
          <w:rFonts w:ascii="Mangal Pro" w:hAnsi="Mangal Pro" w:cs="Mangal Pro"/>
          <w:b/>
          <w:bCs/>
          <w:sz w:val="22"/>
          <w:szCs w:val="22"/>
        </w:rPr>
      </w:pPr>
    </w:p>
    <w:p w14:paraId="598B642D" w14:textId="26EE4AB4" w:rsidR="002C290C" w:rsidRDefault="00FA6779" w:rsidP="00A41ADB">
      <w:pPr>
        <w:pStyle w:val="ListParagraph"/>
        <w:numPr>
          <w:ilvl w:val="0"/>
          <w:numId w:val="10"/>
        </w:numPr>
        <w:rPr>
          <w:rFonts w:ascii="Mangal Pro" w:hAnsi="Mangal Pro" w:cs="Mangal Pro"/>
          <w:sz w:val="22"/>
          <w:szCs w:val="22"/>
        </w:rPr>
      </w:pPr>
      <w:r w:rsidRPr="00FA6779">
        <w:rPr>
          <w:rFonts w:ascii="Mangal Pro" w:hAnsi="Mangal Pro" w:cs="Mangal Pro"/>
          <w:b/>
          <w:bCs/>
          <w:sz w:val="22"/>
          <w:szCs w:val="22"/>
        </w:rPr>
        <w:t xml:space="preserve">Intentional Efforts to Increase FAFSA and Financial Aid Application </w:t>
      </w:r>
      <w:r w:rsidR="00AF4622" w:rsidRPr="00FA6779">
        <w:rPr>
          <w:rFonts w:ascii="Mangal Pro" w:hAnsi="Mangal Pro" w:cs="Mangal Pro"/>
          <w:b/>
          <w:bCs/>
          <w:sz w:val="22"/>
          <w:szCs w:val="22"/>
        </w:rPr>
        <w:t>Process Completion</w:t>
      </w:r>
      <w:r w:rsidRPr="00FA6779">
        <w:rPr>
          <w:rFonts w:ascii="Mangal Pro" w:hAnsi="Mangal Pro" w:cs="Mangal Pro"/>
          <w:b/>
          <w:bCs/>
          <w:sz w:val="22"/>
          <w:szCs w:val="22"/>
        </w:rPr>
        <w:t>:</w:t>
      </w:r>
      <w:r w:rsidR="00565C84">
        <w:rPr>
          <w:rFonts w:ascii="Mangal Pro" w:hAnsi="Mangal Pro" w:cs="Mangal Pro"/>
          <w:sz w:val="22"/>
          <w:szCs w:val="22"/>
        </w:rPr>
        <w:t xml:space="preserve"> </w:t>
      </w:r>
      <w:r w:rsidR="00036419">
        <w:rPr>
          <w:rFonts w:ascii="Mangal Pro" w:hAnsi="Mangal Pro" w:cs="Mangal Pro"/>
          <w:sz w:val="22"/>
          <w:szCs w:val="22"/>
        </w:rPr>
        <w:t xml:space="preserve">will focus on maximizing the use of “Enrollment Centers/Labs” as active spaces for financial aid support. These labs will provide hands-on assistance with FAFSA applications, verification, and award processing, ensuring </w:t>
      </w:r>
      <w:r w:rsidR="00036419">
        <w:rPr>
          <w:rFonts w:ascii="Mangal Pro" w:hAnsi="Mangal Pro" w:cs="Mangal Pro"/>
          <w:sz w:val="22"/>
          <w:szCs w:val="22"/>
        </w:rPr>
        <w:lastRenderedPageBreak/>
        <w:t>students overcome common barriers to completion. Staff will collaborate with counseling and admissions to integrate financial aid guidance into the overall enrollment</w:t>
      </w:r>
      <w:r w:rsidR="00565C84">
        <w:rPr>
          <w:rFonts w:ascii="Mangal Pro" w:hAnsi="Mangal Pro" w:cs="Mangal Pro"/>
          <w:sz w:val="22"/>
          <w:szCs w:val="22"/>
        </w:rPr>
        <w:t xml:space="preserve"> </w:t>
      </w:r>
      <w:r w:rsidR="00C30C19">
        <w:rPr>
          <w:rFonts w:ascii="Mangal Pro" w:hAnsi="Mangal Pro" w:cs="Mangal Pro"/>
          <w:sz w:val="22"/>
          <w:szCs w:val="22"/>
        </w:rPr>
        <w:t>process, directly increasing the percentage of students receiving Pell Grants and other aid. FAFSA completion rates and Pell Grant awards each term will be assessed for outcomes before and after lab implementation.</w:t>
      </w:r>
    </w:p>
    <w:p w14:paraId="40575675" w14:textId="77777777" w:rsidR="00FA6779" w:rsidRPr="00FA6779" w:rsidRDefault="00FA6779" w:rsidP="00FA6779">
      <w:pPr>
        <w:pStyle w:val="ListParagraph"/>
        <w:rPr>
          <w:rFonts w:ascii="Mangal Pro" w:hAnsi="Mangal Pro" w:cs="Mangal Pro"/>
          <w:sz w:val="22"/>
          <w:szCs w:val="22"/>
        </w:rPr>
      </w:pPr>
    </w:p>
    <w:p w14:paraId="3D90CF83" w14:textId="6F9CC8D4" w:rsidR="000A2AC4" w:rsidRPr="00C30C19" w:rsidRDefault="00565C84" w:rsidP="00A92241">
      <w:pPr>
        <w:pStyle w:val="ListParagraph"/>
        <w:numPr>
          <w:ilvl w:val="0"/>
          <w:numId w:val="10"/>
        </w:numPr>
        <w:rPr>
          <w:rFonts w:ascii="Mangal Pro" w:hAnsi="Mangal Pro" w:cs="Mangal Pro"/>
          <w:sz w:val="22"/>
          <w:szCs w:val="22"/>
        </w:rPr>
      </w:pPr>
      <w:r w:rsidRPr="00C30C19">
        <w:rPr>
          <w:rFonts w:ascii="Mangal Pro" w:hAnsi="Mangal Pro" w:cs="Mangal Pro"/>
          <w:sz w:val="22"/>
          <w:szCs w:val="22"/>
        </w:rPr>
        <w:t>Additional Key Strategy:</w:t>
      </w:r>
      <w:r w:rsidRPr="00C30C19">
        <w:rPr>
          <w:rFonts w:ascii="Mangal Pro" w:hAnsi="Mangal Pro" w:cs="Mangal Pro"/>
          <w:b/>
          <w:bCs/>
          <w:sz w:val="22"/>
          <w:szCs w:val="22"/>
        </w:rPr>
        <w:t xml:space="preserve"> Elevate Equity through Culturally Responsive Academic Empowerment Initiatives</w:t>
      </w:r>
      <w:r w:rsidR="00C30C19">
        <w:rPr>
          <w:rFonts w:ascii="Mangal Pro" w:hAnsi="Mangal Pro" w:cs="Mangal Pro"/>
          <w:sz w:val="22"/>
          <w:szCs w:val="22"/>
        </w:rPr>
        <w:t>, ensuring that all students feel supported and represented in their educational journey. These efforts will include the creation of culturally responsive learning communities that foster belonging and engagement, peer mentorship programs that connect students with role models who share similar backgrounds, and faculty development focused on inclusive pedagogy. By equipping instructors with tools to integrate diverse perspectives into teaching, SBVC can strengthen student success. Institutional research will work collaboratively to track retention and course completion rates of students participating in learning communities compared to non-participants.</w:t>
      </w:r>
    </w:p>
    <w:p w14:paraId="1E32432B" w14:textId="77777777" w:rsidR="00E640EB" w:rsidRDefault="00E640EB" w:rsidP="00A92241">
      <w:pPr>
        <w:pStyle w:val="ListParagraph"/>
        <w:rPr>
          <w:rFonts w:ascii="Mangal Pro" w:hAnsi="Mangal Pro" w:cs="Mangal Pro"/>
          <w:sz w:val="22"/>
          <w:szCs w:val="22"/>
        </w:rPr>
      </w:pPr>
    </w:p>
    <w:p w14:paraId="1930DD12" w14:textId="77777777" w:rsidR="00E640EB" w:rsidRDefault="00E640EB" w:rsidP="00A92241">
      <w:pPr>
        <w:pStyle w:val="ListParagraph"/>
        <w:rPr>
          <w:rFonts w:ascii="Mangal Pro" w:hAnsi="Mangal Pro" w:cs="Mangal Pro"/>
          <w:sz w:val="22"/>
          <w:szCs w:val="22"/>
        </w:rPr>
      </w:pPr>
    </w:p>
    <w:p w14:paraId="7A29F1C3" w14:textId="77777777" w:rsidR="00E640EB" w:rsidRDefault="00E640EB" w:rsidP="00A92241">
      <w:pPr>
        <w:pStyle w:val="ListParagraph"/>
        <w:rPr>
          <w:rFonts w:ascii="Mangal Pro" w:hAnsi="Mangal Pro" w:cs="Mangal Pro"/>
          <w:sz w:val="22"/>
          <w:szCs w:val="22"/>
        </w:rPr>
      </w:pPr>
    </w:p>
    <w:p w14:paraId="6F88534D" w14:textId="77777777" w:rsidR="00E640EB" w:rsidRDefault="00E640EB" w:rsidP="00A92241">
      <w:pPr>
        <w:pStyle w:val="ListParagraph"/>
        <w:rPr>
          <w:rFonts w:ascii="Mangal Pro" w:hAnsi="Mangal Pro" w:cs="Mangal Pro"/>
          <w:sz w:val="22"/>
          <w:szCs w:val="22"/>
        </w:rPr>
      </w:pPr>
    </w:p>
    <w:p w14:paraId="3C50F717" w14:textId="77777777" w:rsidR="00E640EB" w:rsidRDefault="00E640EB" w:rsidP="00A92241">
      <w:pPr>
        <w:pStyle w:val="ListParagraph"/>
        <w:rPr>
          <w:rFonts w:ascii="Mangal Pro" w:hAnsi="Mangal Pro" w:cs="Mangal Pro"/>
          <w:sz w:val="22"/>
          <w:szCs w:val="22"/>
        </w:rPr>
      </w:pPr>
    </w:p>
    <w:p w14:paraId="47F266CA" w14:textId="77777777" w:rsidR="00E640EB" w:rsidRDefault="00E640EB" w:rsidP="00A92241">
      <w:pPr>
        <w:pStyle w:val="ListParagraph"/>
        <w:rPr>
          <w:rFonts w:ascii="Mangal Pro" w:hAnsi="Mangal Pro" w:cs="Mangal Pro"/>
          <w:sz w:val="22"/>
          <w:szCs w:val="22"/>
        </w:rPr>
      </w:pPr>
    </w:p>
    <w:p w14:paraId="6EEAFF01" w14:textId="77777777" w:rsidR="00E640EB" w:rsidRDefault="00E640EB" w:rsidP="00A92241">
      <w:pPr>
        <w:pStyle w:val="ListParagraph"/>
        <w:rPr>
          <w:rFonts w:ascii="Mangal Pro" w:hAnsi="Mangal Pro" w:cs="Mangal Pro"/>
          <w:sz w:val="22"/>
          <w:szCs w:val="22"/>
        </w:rPr>
      </w:pPr>
    </w:p>
    <w:p w14:paraId="34E5D8F1" w14:textId="77777777" w:rsidR="00E640EB" w:rsidRDefault="00E640EB" w:rsidP="00A92241">
      <w:pPr>
        <w:pStyle w:val="ListParagraph"/>
        <w:rPr>
          <w:rFonts w:ascii="Mangal Pro" w:hAnsi="Mangal Pro" w:cs="Mangal Pro"/>
          <w:sz w:val="22"/>
          <w:szCs w:val="22"/>
        </w:rPr>
      </w:pPr>
    </w:p>
    <w:p w14:paraId="2227B95F" w14:textId="77777777" w:rsidR="00E640EB" w:rsidRDefault="00E640EB" w:rsidP="00A92241">
      <w:pPr>
        <w:pStyle w:val="ListParagraph"/>
        <w:rPr>
          <w:rFonts w:ascii="Mangal Pro" w:hAnsi="Mangal Pro" w:cs="Mangal Pro"/>
          <w:sz w:val="22"/>
          <w:szCs w:val="22"/>
        </w:rPr>
      </w:pPr>
    </w:p>
    <w:p w14:paraId="22FAE464" w14:textId="77777777" w:rsidR="00E640EB" w:rsidRDefault="00E640EB" w:rsidP="00A92241">
      <w:pPr>
        <w:pStyle w:val="ListParagraph"/>
        <w:rPr>
          <w:rFonts w:ascii="Mangal Pro" w:hAnsi="Mangal Pro" w:cs="Mangal Pro"/>
          <w:sz w:val="22"/>
          <w:szCs w:val="22"/>
        </w:rPr>
      </w:pPr>
    </w:p>
    <w:p w14:paraId="5E264044" w14:textId="77777777" w:rsidR="00E640EB" w:rsidRDefault="00E640EB" w:rsidP="00A92241">
      <w:pPr>
        <w:pStyle w:val="ListParagraph"/>
        <w:rPr>
          <w:rFonts w:ascii="Mangal Pro" w:hAnsi="Mangal Pro" w:cs="Mangal Pro"/>
          <w:sz w:val="22"/>
          <w:szCs w:val="22"/>
        </w:rPr>
      </w:pPr>
    </w:p>
    <w:p w14:paraId="253BE57A" w14:textId="77777777" w:rsidR="00E640EB" w:rsidRDefault="00E640EB" w:rsidP="00A92241">
      <w:pPr>
        <w:pStyle w:val="ListParagraph"/>
        <w:rPr>
          <w:rFonts w:ascii="Mangal Pro" w:hAnsi="Mangal Pro" w:cs="Mangal Pro"/>
          <w:sz w:val="22"/>
          <w:szCs w:val="22"/>
        </w:rPr>
      </w:pPr>
    </w:p>
    <w:p w14:paraId="27233C1B" w14:textId="0F419A84" w:rsidR="00E640EB" w:rsidRPr="00E640EB" w:rsidRDefault="008410D0" w:rsidP="00C13128">
      <w:pPr>
        <w:rPr>
          <w:rFonts w:ascii="Mangal Pro" w:hAnsi="Mangal Pro" w:cs="Mangal Pro"/>
          <w:sz w:val="22"/>
          <w:szCs w:val="22"/>
        </w:rPr>
      </w:pPr>
      <w:r w:rsidRPr="00E640EB">
        <w:rPr>
          <w:rFonts w:ascii="Mangal Pro" w:hAnsi="Mangal Pro" w:cs="Mangal Pro"/>
          <w:b/>
          <w:bCs/>
          <w:sz w:val="36"/>
          <w:szCs w:val="36"/>
        </w:rPr>
        <w:lastRenderedPageBreak/>
        <w:t xml:space="preserve">Section 9: </w:t>
      </w:r>
      <w:r w:rsidR="00C13128" w:rsidRPr="00E640EB">
        <w:rPr>
          <w:rFonts w:ascii="Mangal Pro" w:hAnsi="Mangal Pro" w:cs="Mangal Pro"/>
          <w:b/>
          <w:bCs/>
          <w:sz w:val="36"/>
          <w:szCs w:val="36"/>
        </w:rPr>
        <w:t xml:space="preserve">Metric </w:t>
      </w:r>
      <w:r w:rsidR="002C290C" w:rsidRPr="00E640EB">
        <w:rPr>
          <w:rFonts w:ascii="Mangal Pro" w:hAnsi="Mangal Pro" w:cs="Mangal Pro"/>
          <w:b/>
          <w:bCs/>
          <w:sz w:val="36"/>
          <w:szCs w:val="36"/>
        </w:rPr>
        <w:t>4</w:t>
      </w:r>
      <w:r w:rsidR="00C13128" w:rsidRPr="00E640EB">
        <w:rPr>
          <w:rFonts w:ascii="Mangal Pro" w:hAnsi="Mangal Pro" w:cs="Mangal Pro"/>
          <w:b/>
          <w:bCs/>
          <w:sz w:val="36"/>
          <w:szCs w:val="36"/>
        </w:rPr>
        <w:t>: Vision Goal Completion</w:t>
      </w:r>
      <w:r w:rsidR="00C13128" w:rsidRPr="00E640EB">
        <w:rPr>
          <w:rFonts w:ascii="Mangal Pro" w:hAnsi="Mangal Pro" w:cs="Mangal Pro"/>
          <w:sz w:val="22"/>
          <w:szCs w:val="22"/>
        </w:rPr>
        <w:t xml:space="preserve">  </w:t>
      </w:r>
    </w:p>
    <w:p w14:paraId="6EE8CAAC" w14:textId="17BEC25E" w:rsidR="00C13128" w:rsidRDefault="00E640EB" w:rsidP="00C13128">
      <w:pPr>
        <w:rPr>
          <w:rFonts w:ascii="Mangal Pro" w:hAnsi="Mangal Pro" w:cs="Mangal Pro"/>
          <w:sz w:val="22"/>
          <w:szCs w:val="22"/>
        </w:rPr>
      </w:pPr>
      <w:r>
        <w:rPr>
          <w:rFonts w:ascii="Mangal Pro" w:hAnsi="Mangal Pro" w:cs="Mangal Pro"/>
          <w:sz w:val="22"/>
          <w:szCs w:val="22"/>
        </w:rPr>
        <w:t>T</w:t>
      </w:r>
      <w:r w:rsidR="00C13128" w:rsidRPr="00C13128">
        <w:rPr>
          <w:rFonts w:ascii="Mangal Pro" w:hAnsi="Mangal Pro" w:cs="Mangal Pro"/>
          <w:sz w:val="22"/>
          <w:szCs w:val="22"/>
        </w:rPr>
        <w:t>he percentage of students who graduate within three academic years of starting SBVC.</w:t>
      </w:r>
    </w:p>
    <w:p w14:paraId="0EB76733" w14:textId="0B90D21F" w:rsidR="00A0601F" w:rsidRDefault="00906206" w:rsidP="00C13128">
      <w:pPr>
        <w:rPr>
          <w:rFonts w:ascii="Mangal Pro" w:hAnsi="Mangal Pro" w:cs="Mangal Pro"/>
          <w:sz w:val="22"/>
          <w:szCs w:val="22"/>
        </w:rPr>
      </w:pPr>
      <w:r w:rsidRPr="00906206">
        <w:rPr>
          <w:rFonts w:ascii="Mangal Pro" w:hAnsi="Mangal Pro" w:cs="Mangal Pro"/>
          <w:noProof/>
          <w:sz w:val="22"/>
          <w:szCs w:val="22"/>
        </w:rPr>
        <w:drawing>
          <wp:inline distT="0" distB="0" distL="0" distR="0" wp14:anchorId="4DD9A044" wp14:editId="64D77758">
            <wp:extent cx="5943600" cy="1382395"/>
            <wp:effectExtent l="0" t="0" r="0" b="8255"/>
            <wp:docPr id="185932647" name="Picture 1" descr="A blue rectangular object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32647" name="Picture 1" descr="A blue rectangular object with numbers&#10;&#10;AI-generated content may be incorrect."/>
                    <pic:cNvPicPr/>
                  </pic:nvPicPr>
                  <pic:blipFill>
                    <a:blip r:embed="rId32"/>
                    <a:stretch>
                      <a:fillRect/>
                    </a:stretch>
                  </pic:blipFill>
                  <pic:spPr>
                    <a:xfrm>
                      <a:off x="0" y="0"/>
                      <a:ext cx="5943600" cy="1382395"/>
                    </a:xfrm>
                    <a:prstGeom prst="rect">
                      <a:avLst/>
                    </a:prstGeom>
                  </pic:spPr>
                </pic:pic>
              </a:graphicData>
            </a:graphic>
          </wp:inline>
        </w:drawing>
      </w:r>
    </w:p>
    <w:p w14:paraId="5E8D965D" w14:textId="77777777" w:rsidR="00906206" w:rsidRDefault="00906206" w:rsidP="00C13128">
      <w:pPr>
        <w:rPr>
          <w:rFonts w:ascii="Mangal Pro" w:hAnsi="Mangal Pro" w:cs="Mangal Pro"/>
          <w:sz w:val="22"/>
          <w:szCs w:val="22"/>
        </w:rPr>
      </w:pPr>
    </w:p>
    <w:p w14:paraId="1520AF3F" w14:textId="5ED9DA75" w:rsidR="00A92241" w:rsidRDefault="00A92241" w:rsidP="00C13128">
      <w:pPr>
        <w:rPr>
          <w:rFonts w:ascii="Mangal Pro" w:hAnsi="Mangal Pro" w:cs="Mangal Pro"/>
          <w:sz w:val="22"/>
          <w:szCs w:val="22"/>
        </w:rPr>
      </w:pPr>
      <w:r w:rsidRPr="00A92241">
        <w:rPr>
          <w:rFonts w:ascii="Mangal Pro" w:hAnsi="Mangal Pro" w:cs="Mangal Pro"/>
          <w:noProof/>
          <w:sz w:val="22"/>
          <w:szCs w:val="22"/>
        </w:rPr>
        <w:drawing>
          <wp:inline distT="0" distB="0" distL="0" distR="0" wp14:anchorId="669E9CF5" wp14:editId="7427C07D">
            <wp:extent cx="5943600" cy="2248535"/>
            <wp:effectExtent l="0" t="0" r="0" b="0"/>
            <wp:docPr id="1770231141" name="Picture 1" descr="A group of squares with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231141" name="Picture 1" descr="A group of squares with different colors&#10;&#10;AI-generated content may be incorrect."/>
                    <pic:cNvPicPr/>
                  </pic:nvPicPr>
                  <pic:blipFill>
                    <a:blip r:embed="rId27"/>
                    <a:stretch>
                      <a:fillRect/>
                    </a:stretch>
                  </pic:blipFill>
                  <pic:spPr>
                    <a:xfrm>
                      <a:off x="0" y="0"/>
                      <a:ext cx="5943600" cy="2248535"/>
                    </a:xfrm>
                    <a:prstGeom prst="rect">
                      <a:avLst/>
                    </a:prstGeom>
                  </pic:spPr>
                </pic:pic>
              </a:graphicData>
            </a:graphic>
          </wp:inline>
        </w:drawing>
      </w:r>
    </w:p>
    <w:p w14:paraId="77E461E2" w14:textId="6E284835" w:rsidR="00A92241" w:rsidRPr="00D05C94" w:rsidRDefault="00A92241" w:rsidP="00C13128">
      <w:pPr>
        <w:rPr>
          <w:rFonts w:ascii="Mangal Pro" w:hAnsi="Mangal Pro" w:cs="Mangal Pro"/>
          <w:i/>
          <w:iCs/>
          <w:sz w:val="18"/>
          <w:szCs w:val="18"/>
        </w:rPr>
      </w:pPr>
      <w:r w:rsidRPr="00D05C94">
        <w:rPr>
          <w:rFonts w:ascii="Mangal Pro" w:hAnsi="Mangal Pro" w:cs="Mangal Pro"/>
          <w:i/>
          <w:iCs/>
          <w:sz w:val="18"/>
          <w:szCs w:val="18"/>
        </w:rPr>
        <w:t xml:space="preserve">In </w:t>
      </w:r>
      <w:r w:rsidRPr="00D05C94">
        <w:rPr>
          <w:rFonts w:ascii="Mangal Pro" w:hAnsi="Mangal Pro" w:cs="Mangal Pro"/>
          <w:b/>
          <w:bCs/>
          <w:i/>
          <w:iCs/>
          <w:sz w:val="18"/>
          <w:szCs w:val="18"/>
        </w:rPr>
        <w:t>2021-2022</w:t>
      </w:r>
      <w:r w:rsidRPr="00D05C94">
        <w:rPr>
          <w:rFonts w:ascii="Mangal Pro" w:hAnsi="Mangal Pro" w:cs="Mangal Pro"/>
          <w:i/>
          <w:iCs/>
          <w:sz w:val="18"/>
          <w:szCs w:val="18"/>
        </w:rPr>
        <w:t xml:space="preserve">, </w:t>
      </w:r>
      <w:r w:rsidRPr="00D05C94">
        <w:rPr>
          <w:rFonts w:ascii="Mangal Pro" w:hAnsi="Mangal Pro" w:cs="Mangal Pro"/>
          <w:b/>
          <w:bCs/>
          <w:i/>
          <w:iCs/>
          <w:sz w:val="18"/>
          <w:szCs w:val="18"/>
        </w:rPr>
        <w:t>6.5%</w:t>
      </w:r>
      <w:r w:rsidRPr="00D05C94">
        <w:rPr>
          <w:rFonts w:ascii="Mangal Pro" w:hAnsi="Mangal Pro" w:cs="Mangal Pro"/>
          <w:i/>
          <w:iCs/>
          <w:sz w:val="18"/>
          <w:szCs w:val="18"/>
        </w:rPr>
        <w:t xml:space="preserve"> of the</w:t>
      </w:r>
      <w:r w:rsidRPr="00D05C94">
        <w:rPr>
          <w:rFonts w:ascii="Mangal Pro" w:hAnsi="Mangal Pro" w:cs="Mangal Pro"/>
          <w:b/>
          <w:bCs/>
          <w:i/>
          <w:iCs/>
          <w:sz w:val="18"/>
          <w:szCs w:val="18"/>
        </w:rPr>
        <w:t xml:space="preserve"> 536</w:t>
      </w:r>
      <w:r w:rsidRPr="00D05C94">
        <w:rPr>
          <w:rFonts w:ascii="Mangal Pro" w:hAnsi="Mangal Pro" w:cs="Mangal Pro"/>
          <w:i/>
          <w:iCs/>
          <w:sz w:val="18"/>
          <w:szCs w:val="18"/>
        </w:rPr>
        <w:t xml:space="preserve"> first-time </w:t>
      </w:r>
      <w:r w:rsidRPr="00D05C94">
        <w:rPr>
          <w:rFonts w:ascii="Mangal Pro" w:hAnsi="Mangal Pro" w:cs="Mangal Pro"/>
          <w:b/>
          <w:bCs/>
          <w:i/>
          <w:iCs/>
          <w:sz w:val="18"/>
          <w:szCs w:val="18"/>
        </w:rPr>
        <w:t>Black/African American</w:t>
      </w:r>
      <w:r w:rsidRPr="00D05C94">
        <w:rPr>
          <w:rFonts w:ascii="Mangal Pro" w:hAnsi="Mangal Pro" w:cs="Mangal Pro"/>
          <w:i/>
          <w:iCs/>
          <w:sz w:val="18"/>
          <w:szCs w:val="18"/>
        </w:rPr>
        <w:t xml:space="preserve"> students graduated within three academic years of starting at SBVC, resulting in </w:t>
      </w:r>
      <w:r w:rsidR="00811955" w:rsidRPr="00D05C94">
        <w:rPr>
          <w:rFonts w:ascii="Mangal Pro" w:hAnsi="Mangal Pro" w:cs="Mangal Pro"/>
          <w:i/>
          <w:iCs/>
          <w:sz w:val="18"/>
          <w:szCs w:val="18"/>
        </w:rPr>
        <w:t xml:space="preserve">an </w:t>
      </w:r>
      <w:r w:rsidRPr="00D05C94">
        <w:rPr>
          <w:rFonts w:ascii="Mangal Pro" w:hAnsi="Mangal Pro" w:cs="Mangal Pro"/>
          <w:b/>
          <w:bCs/>
          <w:i/>
          <w:iCs/>
          <w:sz w:val="18"/>
          <w:szCs w:val="18"/>
        </w:rPr>
        <w:t>observable disproportionate impact</w:t>
      </w:r>
      <w:r w:rsidRPr="00D05C94">
        <w:rPr>
          <w:rFonts w:ascii="Mangal Pro" w:hAnsi="Mangal Pro" w:cs="Mangal Pro"/>
          <w:i/>
          <w:iCs/>
          <w:sz w:val="18"/>
          <w:szCs w:val="18"/>
        </w:rPr>
        <w:t>.</w:t>
      </w:r>
    </w:p>
    <w:p w14:paraId="17E863E5" w14:textId="1B1D2F49" w:rsidR="00E640EB" w:rsidRDefault="00E640EB" w:rsidP="00C13128">
      <w:pPr>
        <w:rPr>
          <w:rFonts w:ascii="Mangal Pro" w:hAnsi="Mangal Pro" w:cs="Mangal Pro"/>
          <w:b/>
          <w:bCs/>
          <w:sz w:val="22"/>
          <w:szCs w:val="22"/>
        </w:rPr>
      </w:pPr>
    </w:p>
    <w:p w14:paraId="38AEEC99" w14:textId="25EA4902" w:rsidR="00C13128" w:rsidRDefault="003A1921" w:rsidP="00D05C94">
      <w:pPr>
        <w:pStyle w:val="ListParagraph"/>
        <w:numPr>
          <w:ilvl w:val="0"/>
          <w:numId w:val="9"/>
        </w:numPr>
        <w:spacing w:line="240" w:lineRule="auto"/>
        <w:rPr>
          <w:rFonts w:ascii="Mangal Pro" w:hAnsi="Mangal Pro" w:cs="Mangal Pro"/>
          <w:sz w:val="22"/>
          <w:szCs w:val="22"/>
        </w:rPr>
      </w:pPr>
      <w:r>
        <w:rPr>
          <w:rFonts w:ascii="Mangal Pro" w:hAnsi="Mangal Pro" w:cs="Mangal Pro"/>
          <w:b/>
          <w:bCs/>
          <w:sz w:val="22"/>
          <w:szCs w:val="22"/>
        </w:rPr>
        <w:t>En</w:t>
      </w:r>
      <w:r w:rsidR="00811955">
        <w:rPr>
          <w:rFonts w:ascii="Mangal Pro" w:hAnsi="Mangal Pro" w:cs="Mangal Pro"/>
          <w:b/>
          <w:bCs/>
          <w:sz w:val="22"/>
          <w:szCs w:val="22"/>
        </w:rPr>
        <w:t xml:space="preserve">hance data collection to identify the root causes: </w:t>
      </w:r>
      <w:r w:rsidR="00742335">
        <w:rPr>
          <w:rFonts w:ascii="Mangal Pro" w:hAnsi="Mangal Pro" w:cs="Mangal Pro"/>
          <w:sz w:val="22"/>
          <w:szCs w:val="22"/>
        </w:rPr>
        <w:t>data-driven, systematic case management will be developed to integrate early alert tools, proactive counseling, and individualized education planning. This system will allow faculty and staff to monitor academic progress, intervene when challenges raise and provide support that addresses barriers to completion. By combining technology with intentional counseling practices, SBVC can ensure students receive timely guidance toward certificates, degrees, and transfer goals. Completion rates and persistence of students will be tracked through case management.</w:t>
      </w:r>
    </w:p>
    <w:p w14:paraId="14095993" w14:textId="3B6A14AB" w:rsidR="00D05C94" w:rsidRDefault="00D05C94" w:rsidP="00D05C94">
      <w:pPr>
        <w:pStyle w:val="ListParagraph"/>
        <w:numPr>
          <w:ilvl w:val="0"/>
          <w:numId w:val="9"/>
        </w:numPr>
        <w:spacing w:line="240" w:lineRule="auto"/>
        <w:rPr>
          <w:rFonts w:ascii="Mangal Pro" w:hAnsi="Mangal Pro" w:cs="Mangal Pro"/>
          <w:sz w:val="22"/>
          <w:szCs w:val="22"/>
        </w:rPr>
      </w:pPr>
      <w:r>
        <w:rPr>
          <w:rFonts w:ascii="Mangal Pro" w:hAnsi="Mangal Pro" w:cs="Mangal Pro"/>
          <w:b/>
          <w:bCs/>
          <w:sz w:val="22"/>
          <w:szCs w:val="22"/>
        </w:rPr>
        <w:lastRenderedPageBreak/>
        <w:t xml:space="preserve">Guided Pathways and Academic Mapping: </w:t>
      </w:r>
      <w:r>
        <w:rPr>
          <w:rFonts w:ascii="Mangal Pro" w:hAnsi="Mangal Pro" w:cs="Mangal Pro"/>
          <w:sz w:val="22"/>
          <w:szCs w:val="22"/>
        </w:rPr>
        <w:t xml:space="preserve">continue to develop clear degree maps for all majors with embedded milestones to guide progress. </w:t>
      </w:r>
    </w:p>
    <w:p w14:paraId="1E7062A5" w14:textId="365DAE0E" w:rsidR="00742335" w:rsidRDefault="00D05C94" w:rsidP="00D05C94">
      <w:pPr>
        <w:pStyle w:val="ListParagraph"/>
        <w:spacing w:line="240" w:lineRule="auto"/>
        <w:rPr>
          <w:rFonts w:ascii="Mangal Pro" w:hAnsi="Mangal Pro" w:cs="Mangal Pro"/>
          <w:sz w:val="22"/>
          <w:szCs w:val="22"/>
        </w:rPr>
      </w:pPr>
      <w:r w:rsidRPr="00D05C94">
        <w:rPr>
          <w:rFonts w:ascii="Mangal Pro" w:hAnsi="Mangal Pro" w:cs="Mangal Pro"/>
          <w:sz w:val="22"/>
          <w:szCs w:val="22"/>
        </w:rPr>
        <w:t xml:space="preserve">These maps will outline recommended courses, sequencing, and critical checkpoints, helping students avoid excess units and stay on track toward timely completion. Faculty, counselors, and advisors will collaborate to regularly review and update maps to reflect transfer requirements, workforce needs, and state mandates. By integrating academic planning tools and proactive counseling, SBVC can provide students with a transparent roadmap that improves retention, </w:t>
      </w:r>
      <w:r>
        <w:rPr>
          <w:rFonts w:ascii="Mangal Pro" w:hAnsi="Mangal Pro" w:cs="Mangal Pro"/>
          <w:sz w:val="22"/>
          <w:szCs w:val="22"/>
        </w:rPr>
        <w:t xml:space="preserve">increases </w:t>
      </w:r>
      <w:r w:rsidRPr="00D05C94">
        <w:rPr>
          <w:rFonts w:ascii="Mangal Pro" w:hAnsi="Mangal Pro" w:cs="Mangal Pro"/>
          <w:sz w:val="22"/>
          <w:szCs w:val="22"/>
        </w:rPr>
        <w:t>completion, and strengthens overall student success outcomes.</w:t>
      </w:r>
    </w:p>
    <w:p w14:paraId="77DE5275" w14:textId="77777777" w:rsidR="00D05C94" w:rsidRPr="00D05C94" w:rsidRDefault="00D05C94" w:rsidP="00D05C94">
      <w:pPr>
        <w:pStyle w:val="ListParagraph"/>
        <w:rPr>
          <w:rFonts w:ascii="Mangal Pro" w:hAnsi="Mangal Pro" w:cs="Mangal Pro"/>
          <w:sz w:val="22"/>
          <w:szCs w:val="22"/>
        </w:rPr>
      </w:pPr>
    </w:p>
    <w:p w14:paraId="447169CE" w14:textId="5F0A1545" w:rsidR="00D05C94" w:rsidRDefault="00D05C94" w:rsidP="00BC39B8">
      <w:pPr>
        <w:pStyle w:val="ListParagraph"/>
        <w:numPr>
          <w:ilvl w:val="0"/>
          <w:numId w:val="9"/>
        </w:numPr>
        <w:spacing w:line="240" w:lineRule="auto"/>
        <w:rPr>
          <w:rFonts w:ascii="Mangal Pro" w:hAnsi="Mangal Pro" w:cs="Mangal Pro"/>
          <w:sz w:val="22"/>
          <w:szCs w:val="22"/>
        </w:rPr>
      </w:pPr>
      <w:r>
        <w:rPr>
          <w:rFonts w:ascii="Mangal Pro" w:hAnsi="Mangal Pro" w:cs="Mangal Pro"/>
          <w:sz w:val="22"/>
          <w:szCs w:val="22"/>
        </w:rPr>
        <w:t xml:space="preserve">Advancing </w:t>
      </w:r>
      <w:r w:rsidRPr="00D05C94">
        <w:rPr>
          <w:rFonts w:ascii="Mangal Pro" w:hAnsi="Mangal Pro" w:cs="Mangal Pro"/>
          <w:b/>
          <w:bCs/>
          <w:sz w:val="22"/>
          <w:szCs w:val="22"/>
        </w:rPr>
        <w:t>Equity &amp; Culturally Responsive Practices</w:t>
      </w:r>
      <w:r>
        <w:rPr>
          <w:rFonts w:ascii="Mangal Pro" w:hAnsi="Mangal Pro" w:cs="Mangal Pro"/>
          <w:sz w:val="22"/>
          <w:szCs w:val="22"/>
        </w:rPr>
        <w:t xml:space="preserve"> – will require intentional efforts to expand learning communities, peer mentorship opportunities, and faculty development in inclusive pedagogy. Learning communities will provide structured environments where students can build connections, foster belonging, and receive targeted academic support. Peer mentorship will connect students with role models who share similar backgrounds, offering guidance and encouragement throughout their educational journey. </w:t>
      </w:r>
      <w:r w:rsidR="00BC39B8">
        <w:rPr>
          <w:rFonts w:ascii="Mangal Pro" w:hAnsi="Mangal Pro" w:cs="Mangal Pro"/>
          <w:sz w:val="22"/>
          <w:szCs w:val="22"/>
        </w:rPr>
        <w:t>Faculty training will emphasize culturally responsive teaching strategies that integrate diverse perspectives into curriculum and classroom practice. This will reduce equity gaps, strengthen retention, and empower students to achieve academic and personal success.</w:t>
      </w:r>
    </w:p>
    <w:p w14:paraId="1E7B4CF3" w14:textId="5892A753" w:rsidR="00334608" w:rsidRPr="00334608" w:rsidRDefault="00334608" w:rsidP="00334608">
      <w:pPr>
        <w:rPr>
          <w:rFonts w:ascii="Mangal Pro" w:hAnsi="Mangal Pro" w:cs="Mangal Pro"/>
          <w:sz w:val="22"/>
          <w:szCs w:val="22"/>
        </w:rPr>
      </w:pPr>
    </w:p>
    <w:p w14:paraId="64EA3FA1" w14:textId="21453F91" w:rsidR="00BC39B8" w:rsidRDefault="00EE5BEA" w:rsidP="00BC39B8">
      <w:pPr>
        <w:pStyle w:val="ListParagraph"/>
        <w:numPr>
          <w:ilvl w:val="0"/>
          <w:numId w:val="9"/>
        </w:numPr>
        <w:spacing w:line="240" w:lineRule="auto"/>
        <w:rPr>
          <w:rFonts w:ascii="Mangal Pro" w:hAnsi="Mangal Pro" w:cs="Mangal Pro"/>
          <w:sz w:val="22"/>
          <w:szCs w:val="22"/>
        </w:rPr>
      </w:pPr>
      <w:r w:rsidRPr="00334608">
        <w:rPr>
          <w:rFonts w:ascii="Mangal Pro" w:hAnsi="Mangal Pro" w:cs="Mangal Pro"/>
          <w:sz w:val="22"/>
          <w:szCs w:val="22"/>
        </w:rPr>
        <w:t xml:space="preserve">Additional Key strategy: </w:t>
      </w:r>
      <w:r w:rsidR="00BC39B8" w:rsidRPr="00BC39B8">
        <w:rPr>
          <w:rFonts w:ascii="Mangal Pro" w:hAnsi="Mangal Pro" w:cs="Mangal Pro"/>
          <w:b/>
          <w:bCs/>
          <w:sz w:val="22"/>
          <w:szCs w:val="22"/>
        </w:rPr>
        <w:t>Provide</w:t>
      </w:r>
      <w:r w:rsidR="00BC39B8">
        <w:rPr>
          <w:rFonts w:ascii="Mangal Pro" w:hAnsi="Mangal Pro" w:cs="Mangal Pro"/>
          <w:sz w:val="22"/>
          <w:szCs w:val="22"/>
        </w:rPr>
        <w:t xml:space="preserve"> </w:t>
      </w:r>
      <w:r w:rsidRPr="00334608">
        <w:rPr>
          <w:rFonts w:ascii="Mangal Pro" w:hAnsi="Mangal Pro" w:cs="Mangal Pro"/>
          <w:b/>
          <w:bCs/>
          <w:sz w:val="22"/>
          <w:szCs w:val="22"/>
        </w:rPr>
        <w:t>Comprehensive support to students</w:t>
      </w:r>
      <w:r w:rsidR="00120456" w:rsidRPr="00334608">
        <w:rPr>
          <w:rFonts w:ascii="Mangal Pro" w:hAnsi="Mangal Pro" w:cs="Mangal Pro"/>
          <w:sz w:val="22"/>
          <w:szCs w:val="22"/>
        </w:rPr>
        <w:t xml:space="preserve">; </w:t>
      </w:r>
      <w:r w:rsidR="00BC39B8">
        <w:rPr>
          <w:rFonts w:ascii="Mangal Pro" w:hAnsi="Mangal Pro" w:cs="Mangal Pro"/>
          <w:sz w:val="22"/>
          <w:szCs w:val="22"/>
        </w:rPr>
        <w:t xml:space="preserve">by expanding access to mental health services, financial aid guidance, and basic needs resources. Success coaches and peer mentors will guide students throughout their educational journey, ensuring personalized assistance and stronger connections to campus resources. Collaborate with Institutional Research to track the utilization of mental health, financial aid, and basic needs services, alongside retention outcomes of students engaged with success coaches and peer mentors. </w:t>
      </w:r>
    </w:p>
    <w:p w14:paraId="65299B8D" w14:textId="77777777" w:rsidR="00F41619" w:rsidRDefault="00F41619" w:rsidP="002C290C">
      <w:pPr>
        <w:rPr>
          <w:rFonts w:ascii="Mangal Pro" w:hAnsi="Mangal Pro" w:cs="Mangal Pro"/>
          <w:b/>
          <w:bCs/>
          <w:sz w:val="36"/>
          <w:szCs w:val="36"/>
        </w:rPr>
      </w:pPr>
    </w:p>
    <w:p w14:paraId="20DF9925" w14:textId="2555BC68" w:rsidR="00334608" w:rsidRPr="00334608" w:rsidRDefault="008410D0" w:rsidP="002C290C">
      <w:pPr>
        <w:rPr>
          <w:rFonts w:ascii="Mangal Pro" w:hAnsi="Mangal Pro" w:cs="Mangal Pro"/>
          <w:sz w:val="36"/>
          <w:szCs w:val="36"/>
        </w:rPr>
      </w:pPr>
      <w:r w:rsidRPr="00334608">
        <w:rPr>
          <w:rFonts w:ascii="Mangal Pro" w:hAnsi="Mangal Pro" w:cs="Mangal Pro"/>
          <w:b/>
          <w:bCs/>
          <w:sz w:val="36"/>
          <w:szCs w:val="36"/>
        </w:rPr>
        <w:lastRenderedPageBreak/>
        <w:t xml:space="preserve">Section 10: </w:t>
      </w:r>
      <w:r w:rsidR="002C290C" w:rsidRPr="00334608">
        <w:rPr>
          <w:rFonts w:ascii="Mangal Pro" w:hAnsi="Mangal Pro" w:cs="Mangal Pro"/>
          <w:b/>
          <w:bCs/>
          <w:sz w:val="36"/>
          <w:szCs w:val="36"/>
        </w:rPr>
        <w:t>Metric 5: Transfer to a 4-year University</w:t>
      </w:r>
      <w:r w:rsidR="002C290C" w:rsidRPr="00334608">
        <w:rPr>
          <w:rFonts w:ascii="Mangal Pro" w:hAnsi="Mangal Pro" w:cs="Mangal Pro"/>
          <w:sz w:val="36"/>
          <w:szCs w:val="36"/>
        </w:rPr>
        <w:t xml:space="preserve">  </w:t>
      </w:r>
    </w:p>
    <w:p w14:paraId="749CD304" w14:textId="42786C4D" w:rsidR="002C290C" w:rsidRDefault="00334608" w:rsidP="002C290C">
      <w:pPr>
        <w:rPr>
          <w:rFonts w:ascii="Mangal Pro" w:hAnsi="Mangal Pro" w:cs="Mangal Pro"/>
          <w:sz w:val="22"/>
          <w:szCs w:val="22"/>
        </w:rPr>
      </w:pPr>
      <w:r>
        <w:rPr>
          <w:rFonts w:ascii="Mangal Pro" w:hAnsi="Mangal Pro" w:cs="Mangal Pro"/>
          <w:sz w:val="22"/>
          <w:szCs w:val="22"/>
        </w:rPr>
        <w:t>T</w:t>
      </w:r>
      <w:r w:rsidR="002C290C">
        <w:rPr>
          <w:rFonts w:ascii="Mangal Pro" w:hAnsi="Mangal Pro" w:cs="Mangal Pro"/>
          <w:sz w:val="22"/>
          <w:szCs w:val="22"/>
        </w:rPr>
        <w:t>he percentage of students who transfer to a 4-year university within four academic years of starting at SBVC.</w:t>
      </w:r>
    </w:p>
    <w:p w14:paraId="21AD4FBA" w14:textId="0BA911FE" w:rsidR="00FF6E8F" w:rsidRDefault="0075631D" w:rsidP="002C290C">
      <w:pPr>
        <w:rPr>
          <w:rFonts w:ascii="Mangal Pro" w:hAnsi="Mangal Pro" w:cs="Mangal Pro"/>
          <w:sz w:val="22"/>
          <w:szCs w:val="22"/>
        </w:rPr>
      </w:pPr>
      <w:r w:rsidRPr="0075631D">
        <w:rPr>
          <w:rFonts w:ascii="Mangal Pro" w:hAnsi="Mangal Pro" w:cs="Mangal Pro"/>
          <w:noProof/>
          <w:sz w:val="22"/>
          <w:szCs w:val="22"/>
        </w:rPr>
        <w:drawing>
          <wp:inline distT="0" distB="0" distL="0" distR="0" wp14:anchorId="7024079A" wp14:editId="110E316C">
            <wp:extent cx="5943600" cy="1372870"/>
            <wp:effectExtent l="0" t="0" r="0" b="0"/>
            <wp:docPr id="1528198596" name="Picture 1" descr="A blue squar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198596" name="Picture 1" descr="A blue squares with white text&#10;&#10;AI-generated content may be incorrect."/>
                    <pic:cNvPicPr/>
                  </pic:nvPicPr>
                  <pic:blipFill>
                    <a:blip r:embed="rId33"/>
                    <a:stretch>
                      <a:fillRect/>
                    </a:stretch>
                  </pic:blipFill>
                  <pic:spPr>
                    <a:xfrm>
                      <a:off x="0" y="0"/>
                      <a:ext cx="5943600" cy="1372870"/>
                    </a:xfrm>
                    <a:prstGeom prst="rect">
                      <a:avLst/>
                    </a:prstGeom>
                  </pic:spPr>
                </pic:pic>
              </a:graphicData>
            </a:graphic>
          </wp:inline>
        </w:drawing>
      </w:r>
    </w:p>
    <w:p w14:paraId="2DDC6FC3" w14:textId="77777777" w:rsidR="0075631D" w:rsidRDefault="0075631D" w:rsidP="002C290C">
      <w:pPr>
        <w:rPr>
          <w:rFonts w:ascii="Mangal Pro" w:hAnsi="Mangal Pro" w:cs="Mangal Pro"/>
          <w:sz w:val="22"/>
          <w:szCs w:val="22"/>
        </w:rPr>
      </w:pPr>
    </w:p>
    <w:p w14:paraId="2C1D0905" w14:textId="5C4EFDA0" w:rsidR="003F638B" w:rsidRDefault="00400A1E" w:rsidP="002C290C">
      <w:pPr>
        <w:rPr>
          <w:rFonts w:ascii="Mangal Pro" w:hAnsi="Mangal Pro" w:cs="Mangal Pro"/>
          <w:sz w:val="22"/>
          <w:szCs w:val="22"/>
        </w:rPr>
      </w:pPr>
      <w:r w:rsidRPr="00400A1E">
        <w:rPr>
          <w:rFonts w:ascii="Mangal Pro" w:hAnsi="Mangal Pro" w:cs="Mangal Pro"/>
          <w:noProof/>
          <w:sz w:val="22"/>
          <w:szCs w:val="22"/>
        </w:rPr>
        <w:drawing>
          <wp:inline distT="0" distB="0" distL="0" distR="0" wp14:anchorId="5D64D996" wp14:editId="359130A4">
            <wp:extent cx="5943600" cy="2218690"/>
            <wp:effectExtent l="0" t="0" r="0" b="0"/>
            <wp:docPr id="806117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1173" name="Picture 1" descr="A screenshot of a computer&#10;&#10;AI-generated content may be incorrect."/>
                    <pic:cNvPicPr/>
                  </pic:nvPicPr>
                  <pic:blipFill>
                    <a:blip r:embed="rId28"/>
                    <a:stretch>
                      <a:fillRect/>
                    </a:stretch>
                  </pic:blipFill>
                  <pic:spPr>
                    <a:xfrm>
                      <a:off x="0" y="0"/>
                      <a:ext cx="5943600" cy="2218690"/>
                    </a:xfrm>
                    <a:prstGeom prst="rect">
                      <a:avLst/>
                    </a:prstGeom>
                  </pic:spPr>
                </pic:pic>
              </a:graphicData>
            </a:graphic>
          </wp:inline>
        </w:drawing>
      </w:r>
    </w:p>
    <w:p w14:paraId="09BE475E" w14:textId="1EB7EFAE" w:rsidR="00D904A6" w:rsidRPr="00BC39B8" w:rsidRDefault="00D904A6" w:rsidP="00D904A6">
      <w:pPr>
        <w:rPr>
          <w:rFonts w:ascii="Mangal Pro" w:hAnsi="Mangal Pro" w:cs="Mangal Pro"/>
          <w:i/>
          <w:iCs/>
          <w:sz w:val="18"/>
          <w:szCs w:val="18"/>
        </w:rPr>
      </w:pPr>
      <w:r w:rsidRPr="00BC39B8">
        <w:rPr>
          <w:rFonts w:ascii="Mangal Pro" w:hAnsi="Mangal Pro" w:cs="Mangal Pro"/>
          <w:i/>
          <w:iCs/>
          <w:sz w:val="18"/>
          <w:szCs w:val="18"/>
        </w:rPr>
        <w:t xml:space="preserve">In </w:t>
      </w:r>
      <w:r w:rsidRPr="00BC39B8">
        <w:rPr>
          <w:rFonts w:ascii="Mangal Pro" w:hAnsi="Mangal Pro" w:cs="Mangal Pro"/>
          <w:b/>
          <w:bCs/>
          <w:i/>
          <w:iCs/>
          <w:sz w:val="18"/>
          <w:szCs w:val="18"/>
        </w:rPr>
        <w:t>2021-2022</w:t>
      </w:r>
      <w:r w:rsidRPr="00BC39B8">
        <w:rPr>
          <w:rFonts w:ascii="Mangal Pro" w:hAnsi="Mangal Pro" w:cs="Mangal Pro"/>
          <w:i/>
          <w:iCs/>
          <w:sz w:val="18"/>
          <w:szCs w:val="18"/>
        </w:rPr>
        <w:t xml:space="preserve">, </w:t>
      </w:r>
      <w:r w:rsidRPr="00BC39B8">
        <w:rPr>
          <w:rFonts w:ascii="Mangal Pro" w:hAnsi="Mangal Pro" w:cs="Mangal Pro"/>
          <w:b/>
          <w:bCs/>
          <w:i/>
          <w:iCs/>
          <w:sz w:val="18"/>
          <w:szCs w:val="18"/>
        </w:rPr>
        <w:t>8.0%</w:t>
      </w:r>
      <w:r w:rsidRPr="00BC39B8">
        <w:rPr>
          <w:rFonts w:ascii="Mangal Pro" w:hAnsi="Mangal Pro" w:cs="Mangal Pro"/>
          <w:i/>
          <w:iCs/>
          <w:sz w:val="18"/>
          <w:szCs w:val="18"/>
        </w:rPr>
        <w:t xml:space="preserve"> of the</w:t>
      </w:r>
      <w:r w:rsidRPr="00BC39B8">
        <w:rPr>
          <w:rFonts w:ascii="Mangal Pro" w:hAnsi="Mangal Pro" w:cs="Mangal Pro"/>
          <w:b/>
          <w:bCs/>
          <w:i/>
          <w:iCs/>
          <w:sz w:val="18"/>
          <w:szCs w:val="18"/>
        </w:rPr>
        <w:t xml:space="preserve"> 1,604</w:t>
      </w:r>
      <w:r w:rsidRPr="00BC39B8">
        <w:rPr>
          <w:rFonts w:ascii="Mangal Pro" w:hAnsi="Mangal Pro" w:cs="Mangal Pro"/>
          <w:i/>
          <w:iCs/>
          <w:sz w:val="18"/>
          <w:szCs w:val="18"/>
        </w:rPr>
        <w:t xml:space="preserve"> first-time </w:t>
      </w:r>
      <w:r w:rsidRPr="00BC39B8">
        <w:rPr>
          <w:rFonts w:ascii="Mangal Pro" w:hAnsi="Mangal Pro" w:cs="Mangal Pro"/>
          <w:b/>
          <w:bCs/>
          <w:i/>
          <w:iCs/>
          <w:sz w:val="18"/>
          <w:szCs w:val="18"/>
        </w:rPr>
        <w:t>Hispanic</w:t>
      </w:r>
      <w:r w:rsidRPr="00BC39B8">
        <w:rPr>
          <w:rFonts w:ascii="Mangal Pro" w:hAnsi="Mangal Pro" w:cs="Mangal Pro"/>
          <w:i/>
          <w:iCs/>
          <w:sz w:val="18"/>
          <w:szCs w:val="18"/>
        </w:rPr>
        <w:t xml:space="preserve"> students transferred to a 4-year university within four academic years of starting at SBVC, resulting in an </w:t>
      </w:r>
      <w:r w:rsidRPr="00BC39B8">
        <w:rPr>
          <w:rFonts w:ascii="Mangal Pro" w:hAnsi="Mangal Pro" w:cs="Mangal Pro"/>
          <w:b/>
          <w:bCs/>
          <w:i/>
          <w:iCs/>
          <w:sz w:val="18"/>
          <w:szCs w:val="18"/>
        </w:rPr>
        <w:t>observable disproportionate impact</w:t>
      </w:r>
      <w:r w:rsidRPr="00BC39B8">
        <w:rPr>
          <w:rFonts w:ascii="Mangal Pro" w:hAnsi="Mangal Pro" w:cs="Mangal Pro"/>
          <w:i/>
          <w:iCs/>
          <w:sz w:val="18"/>
          <w:szCs w:val="18"/>
        </w:rPr>
        <w:t>.</w:t>
      </w:r>
    </w:p>
    <w:p w14:paraId="3DF508B6" w14:textId="5820626E" w:rsidR="002B61D2" w:rsidRPr="002B61D2" w:rsidRDefault="002B61D2" w:rsidP="002B61D2">
      <w:pPr>
        <w:pStyle w:val="NormalWeb"/>
        <w:numPr>
          <w:ilvl w:val="0"/>
          <w:numId w:val="11"/>
        </w:numPr>
        <w:rPr>
          <w:rStyle w:val="Strong"/>
          <w:b w:val="0"/>
          <w:bCs w:val="0"/>
        </w:rPr>
      </w:pPr>
      <w:r>
        <w:rPr>
          <w:rStyle w:val="Strong"/>
          <w:rFonts w:ascii="Mangal Pro" w:hAnsi="Mangal Pro" w:cs="Mangal Pro"/>
          <w:sz w:val="22"/>
          <w:szCs w:val="22"/>
        </w:rPr>
        <w:t xml:space="preserve">Eliminate Disproportionate Impact in Transfer Outcomes, </w:t>
      </w:r>
      <w:r>
        <w:rPr>
          <w:rStyle w:val="Strong"/>
          <w:rFonts w:ascii="Mangal Pro" w:hAnsi="Mangal Pro" w:cs="Mangal Pro"/>
          <w:b w:val="0"/>
          <w:bCs w:val="0"/>
          <w:sz w:val="22"/>
          <w:szCs w:val="22"/>
        </w:rPr>
        <w:t>SBVC will implement intentional strategies to eliminate disproportionate impact in transfer to four-year universities, to ensure that opportunities are equitable for all students. Collaboration with Transfer and Career Services Coordinator, faculty, and staff will identify and address barriers that prevent historically underrepresented groups from achieving successful transfer outcomes. Continuous assessment of transfer data, disaggregated by student demographics, will guide improvements.</w:t>
      </w:r>
    </w:p>
    <w:p w14:paraId="45366C24" w14:textId="1D547519" w:rsidR="002E62E2" w:rsidRPr="00694BB8" w:rsidRDefault="002B61D2" w:rsidP="002E62E2">
      <w:pPr>
        <w:pStyle w:val="NormalWeb"/>
        <w:numPr>
          <w:ilvl w:val="0"/>
          <w:numId w:val="11"/>
        </w:numPr>
        <w:contextualSpacing/>
        <w:rPr>
          <w:sz w:val="22"/>
          <w:szCs w:val="22"/>
        </w:rPr>
      </w:pPr>
      <w:r>
        <w:rPr>
          <w:rFonts w:ascii="Mangal Pro" w:hAnsi="Mangal Pro" w:cs="Mangal Pro"/>
          <w:b/>
          <w:bCs/>
          <w:sz w:val="22"/>
          <w:szCs w:val="22"/>
        </w:rPr>
        <w:lastRenderedPageBreak/>
        <w:t xml:space="preserve">Close Equity Gaps in Transfer Outcomes- </w:t>
      </w:r>
      <w:r>
        <w:rPr>
          <w:rFonts w:ascii="Mangal Pro" w:hAnsi="Mangal Pro" w:cs="Mangal Pro"/>
          <w:sz w:val="22"/>
          <w:szCs w:val="22"/>
        </w:rPr>
        <w:t xml:space="preserve">SBVC will implement intentional strategies to eliminate equity gaps in student transfer to four-year universities, ensuring that all students, regardless of race, ethnicity, income, or background, have equitable opportunities to achieve successful transfer outcomes. Strengthening guided pathways, expanding culturally responsive learning communities, enhancing intrusive counseling, and increasing financial aid access, are some of the key strategies. Faculty and staff will collaborate on how to remove systemic barriers and provide targeted support to historically underrepresented groups. Continuous monitoring of transfer data will guide improvements and ensure proportional representation in transfer rates across all student populations by 2030. </w:t>
      </w:r>
    </w:p>
    <w:p w14:paraId="1732D99F" w14:textId="77777777" w:rsidR="00694BB8" w:rsidRPr="002E62E2" w:rsidRDefault="00694BB8" w:rsidP="00694BB8">
      <w:pPr>
        <w:pStyle w:val="NormalWeb"/>
        <w:ind w:left="720"/>
        <w:contextualSpacing/>
        <w:rPr>
          <w:rStyle w:val="Strong"/>
          <w:b w:val="0"/>
          <w:bCs w:val="0"/>
          <w:sz w:val="22"/>
          <w:szCs w:val="22"/>
        </w:rPr>
      </w:pPr>
    </w:p>
    <w:p w14:paraId="532A6DD8" w14:textId="22813001" w:rsidR="00C51DFD" w:rsidRDefault="00C51DFD" w:rsidP="00C51DFD">
      <w:pPr>
        <w:pStyle w:val="ListParagraph"/>
        <w:numPr>
          <w:ilvl w:val="0"/>
          <w:numId w:val="11"/>
        </w:numPr>
        <w:rPr>
          <w:rFonts w:ascii="Mangal Pro" w:hAnsi="Mangal Pro" w:cs="Mangal Pro"/>
          <w:sz w:val="22"/>
          <w:szCs w:val="22"/>
        </w:rPr>
      </w:pPr>
      <w:r w:rsidRPr="00C51DFD">
        <w:rPr>
          <w:rFonts w:ascii="Mangal Pro" w:hAnsi="Mangal Pro" w:cs="Mangal Pro"/>
          <w:b/>
          <w:bCs/>
          <w:sz w:val="22"/>
          <w:szCs w:val="22"/>
        </w:rPr>
        <w:t>Transfer-Focused Early Alert and Counseling</w:t>
      </w:r>
      <w:r w:rsidRPr="00C51DFD">
        <w:rPr>
          <w:rFonts w:ascii="Mangal Pro" w:hAnsi="Mangal Pro" w:cs="Mangal Pro"/>
          <w:sz w:val="22"/>
          <w:szCs w:val="22"/>
        </w:rPr>
        <w:t xml:space="preserve"> SBVC will integrate transfer-focused early alert systems and counseling interventions to identify students at risk of delays in their transfer journey. Through proactive monitoring, faculty and staff will connect these students with academic advising, financial aid, and transfer resources to ensure timely support. This strategy strengthens pathways to four</w:t>
      </w:r>
      <w:r w:rsidRPr="00C51DFD">
        <w:rPr>
          <w:rFonts w:ascii="Mangal Pro" w:hAnsi="Mangal Pro" w:cs="Mangal Pro"/>
          <w:sz w:val="22"/>
          <w:szCs w:val="22"/>
        </w:rPr>
        <w:noBreakHyphen/>
        <w:t>year universities, reduces barriers, and promotes equitable transfer success across all student groups. By combining technology with personalized guidance, SBVC will improve retention and completion outcomes.</w:t>
      </w:r>
      <w:r>
        <w:rPr>
          <w:rFonts w:ascii="Mangal Pro" w:hAnsi="Mangal Pro" w:cs="Mangal Pro"/>
          <w:sz w:val="22"/>
          <w:szCs w:val="22"/>
        </w:rPr>
        <w:t xml:space="preserve"> Transfer and Career Services Coordinator will collaborate with Institutional Research to track annual transfer rates of students flagged by early alert compared to those not flagged. </w:t>
      </w:r>
    </w:p>
    <w:p w14:paraId="5A67D327" w14:textId="77777777" w:rsidR="00694BB8" w:rsidRPr="00694BB8" w:rsidRDefault="00694BB8" w:rsidP="00694BB8">
      <w:pPr>
        <w:pStyle w:val="ListParagraph"/>
        <w:rPr>
          <w:rFonts w:ascii="Mangal Pro" w:hAnsi="Mangal Pro" w:cs="Mangal Pro"/>
          <w:sz w:val="22"/>
          <w:szCs w:val="22"/>
        </w:rPr>
      </w:pPr>
    </w:p>
    <w:p w14:paraId="0EAB3DA0" w14:textId="77777777" w:rsidR="00694BB8" w:rsidRPr="00C51DFD" w:rsidRDefault="00694BB8" w:rsidP="00694BB8">
      <w:pPr>
        <w:pStyle w:val="ListParagraph"/>
        <w:rPr>
          <w:rFonts w:ascii="Mangal Pro" w:hAnsi="Mangal Pro" w:cs="Mangal Pro"/>
          <w:sz w:val="22"/>
          <w:szCs w:val="22"/>
        </w:rPr>
      </w:pPr>
    </w:p>
    <w:p w14:paraId="64076156" w14:textId="290264B0" w:rsidR="008F5823" w:rsidRPr="00317A17" w:rsidRDefault="008F5823" w:rsidP="00317A17">
      <w:pPr>
        <w:pStyle w:val="ListParagraph"/>
        <w:numPr>
          <w:ilvl w:val="0"/>
          <w:numId w:val="11"/>
        </w:numPr>
        <w:spacing w:line="240" w:lineRule="auto"/>
        <w:rPr>
          <w:rFonts w:ascii="Mangal Pro" w:hAnsi="Mangal Pro" w:cs="Mangal Pro"/>
          <w:sz w:val="22"/>
          <w:szCs w:val="22"/>
        </w:rPr>
      </w:pPr>
      <w:r>
        <w:rPr>
          <w:rFonts w:ascii="Mangal Pro" w:hAnsi="Mangal Pro" w:cs="Mangal Pro"/>
          <w:b/>
          <w:bCs/>
          <w:sz w:val="22"/>
          <w:szCs w:val="22"/>
        </w:rPr>
        <w:t xml:space="preserve">Additional </w:t>
      </w:r>
      <w:r w:rsidRPr="008F5823">
        <w:rPr>
          <w:rFonts w:ascii="Mangal Pro" w:hAnsi="Mangal Pro" w:cs="Mangal Pro"/>
          <w:b/>
          <w:bCs/>
          <w:sz w:val="22"/>
          <w:szCs w:val="22"/>
        </w:rPr>
        <w:t>Key Strategy: Cross Collaboration to Enhance Transfer Culture</w:t>
      </w:r>
      <w:r w:rsidR="00317A17">
        <w:rPr>
          <w:rFonts w:ascii="Mangal Pro" w:hAnsi="Mangal Pro" w:cs="Mangal Pro"/>
          <w:b/>
          <w:bCs/>
          <w:sz w:val="22"/>
          <w:szCs w:val="22"/>
        </w:rPr>
        <w:t>:</w:t>
      </w:r>
      <w:r w:rsidRPr="008F5823">
        <w:rPr>
          <w:rFonts w:ascii="Mangal Pro" w:hAnsi="Mangal Pro" w:cs="Mangal Pro"/>
          <w:b/>
          <w:bCs/>
          <w:sz w:val="22"/>
          <w:szCs w:val="22"/>
        </w:rPr>
        <w:t xml:space="preserve"> </w:t>
      </w:r>
      <w:r w:rsidRPr="00317A17">
        <w:rPr>
          <w:rFonts w:ascii="Mangal Pro" w:hAnsi="Mangal Pro" w:cs="Mangal Pro"/>
          <w:sz w:val="22"/>
          <w:szCs w:val="22"/>
        </w:rPr>
        <w:t>SBVC will strengthen cross</w:t>
      </w:r>
      <w:r w:rsidRPr="00317A17">
        <w:rPr>
          <w:rFonts w:ascii="Mangal Pro" w:hAnsi="Mangal Pro" w:cs="Mangal Pro"/>
          <w:sz w:val="22"/>
          <w:szCs w:val="22"/>
        </w:rPr>
        <w:noBreakHyphen/>
        <w:t xml:space="preserve">collaboration among faculty, staff, student services, and community partners to build a robust transfer culture that supports Hispanic students and closes equity gaps. This strategy will include coordinated efforts between academic departments, counseling, and the Transfer Career Services Department to provide culturally responsive guidance, workshops, and </w:t>
      </w:r>
      <w:r w:rsidRPr="00317A17">
        <w:rPr>
          <w:rFonts w:ascii="Mangal Pro" w:hAnsi="Mangal Pro" w:cs="Mangal Pro"/>
          <w:sz w:val="22"/>
          <w:szCs w:val="22"/>
        </w:rPr>
        <w:lastRenderedPageBreak/>
        <w:t>mentorship. Partnerships with four</w:t>
      </w:r>
      <w:r w:rsidRPr="00317A17">
        <w:rPr>
          <w:rFonts w:ascii="Mangal Pro" w:hAnsi="Mangal Pro" w:cs="Mangal Pro"/>
          <w:sz w:val="22"/>
          <w:szCs w:val="22"/>
        </w:rPr>
        <w:noBreakHyphen/>
        <w:t>year universities will expand opportunities and streamline transfer pathways. By fostering a campus</w:t>
      </w:r>
      <w:r w:rsidRPr="00317A17">
        <w:rPr>
          <w:rFonts w:ascii="Mangal Pro" w:hAnsi="Mangal Pro" w:cs="Mangal Pro"/>
          <w:sz w:val="22"/>
          <w:szCs w:val="22"/>
        </w:rPr>
        <w:noBreakHyphen/>
        <w:t>wide commitment to equity, SBVC will ensure Hispanic students receive the resources and</w:t>
      </w:r>
      <w:r w:rsidRPr="008F5823">
        <w:rPr>
          <w:rFonts w:ascii="Mangal Pro" w:hAnsi="Mangal Pro" w:cs="Mangal Pro"/>
          <w:b/>
          <w:bCs/>
          <w:sz w:val="22"/>
          <w:szCs w:val="22"/>
        </w:rPr>
        <w:t xml:space="preserve"> </w:t>
      </w:r>
      <w:r w:rsidRPr="00317A17">
        <w:rPr>
          <w:rFonts w:ascii="Mangal Pro" w:hAnsi="Mangal Pro" w:cs="Mangal Pro"/>
          <w:sz w:val="22"/>
          <w:szCs w:val="22"/>
        </w:rPr>
        <w:t>encouragement needed to achieve successful transfer outcomes.</w:t>
      </w:r>
      <w:r w:rsidR="006B3E58">
        <w:rPr>
          <w:rFonts w:ascii="Mangal Pro" w:hAnsi="Mangal Pro" w:cs="Mangal Pro"/>
          <w:sz w:val="22"/>
          <w:szCs w:val="22"/>
        </w:rPr>
        <w:t xml:space="preserve"> </w:t>
      </w:r>
      <w:r w:rsidR="005F0166">
        <w:rPr>
          <w:rFonts w:ascii="Mangal Pro" w:hAnsi="Mangal Pro" w:cs="Mangal Pro"/>
          <w:sz w:val="22"/>
          <w:szCs w:val="22"/>
        </w:rPr>
        <w:t xml:space="preserve">Transfer Career Services Coordinator will work collaboratively with Institutional Research to annually track Hispanic student transfer rates and compare progress against baseline data to monitor equity gap closure. </w:t>
      </w:r>
    </w:p>
    <w:p w14:paraId="738286CF" w14:textId="77777777" w:rsidR="00844B2D" w:rsidRDefault="00844B2D" w:rsidP="00B72D30">
      <w:pPr>
        <w:ind w:left="360"/>
        <w:rPr>
          <w:rFonts w:ascii="Mangal Pro" w:hAnsi="Mangal Pro" w:cs="Mangal Pro"/>
          <w:b/>
          <w:bCs/>
          <w:sz w:val="22"/>
          <w:szCs w:val="22"/>
        </w:rPr>
      </w:pPr>
    </w:p>
    <w:p w14:paraId="6B39B554" w14:textId="77777777" w:rsidR="00A0385D" w:rsidRDefault="00A0385D" w:rsidP="00B72D30">
      <w:pPr>
        <w:ind w:left="360"/>
        <w:rPr>
          <w:rFonts w:ascii="Mangal Pro" w:hAnsi="Mangal Pro" w:cs="Mangal Pro"/>
          <w:b/>
          <w:bCs/>
          <w:sz w:val="22"/>
          <w:szCs w:val="22"/>
        </w:rPr>
      </w:pPr>
    </w:p>
    <w:p w14:paraId="12B121BC" w14:textId="77777777" w:rsidR="00A0385D" w:rsidRDefault="00A0385D" w:rsidP="00B72D30">
      <w:pPr>
        <w:ind w:left="360"/>
        <w:rPr>
          <w:rFonts w:ascii="Mangal Pro" w:hAnsi="Mangal Pro" w:cs="Mangal Pro"/>
          <w:b/>
          <w:bCs/>
          <w:sz w:val="22"/>
          <w:szCs w:val="22"/>
        </w:rPr>
      </w:pPr>
    </w:p>
    <w:p w14:paraId="4C053682" w14:textId="77777777" w:rsidR="00F41619" w:rsidRDefault="00F41619" w:rsidP="00B72D30">
      <w:pPr>
        <w:ind w:left="360"/>
        <w:rPr>
          <w:rFonts w:ascii="Mangal Pro" w:hAnsi="Mangal Pro" w:cs="Mangal Pro"/>
          <w:b/>
          <w:bCs/>
          <w:sz w:val="22"/>
          <w:szCs w:val="22"/>
        </w:rPr>
      </w:pPr>
    </w:p>
    <w:p w14:paraId="185B6294" w14:textId="77777777" w:rsidR="00F41619" w:rsidRDefault="00F41619" w:rsidP="00B72D30">
      <w:pPr>
        <w:ind w:left="360"/>
        <w:rPr>
          <w:rFonts w:ascii="Mangal Pro" w:hAnsi="Mangal Pro" w:cs="Mangal Pro"/>
          <w:b/>
          <w:bCs/>
          <w:sz w:val="22"/>
          <w:szCs w:val="22"/>
        </w:rPr>
      </w:pPr>
    </w:p>
    <w:p w14:paraId="5C442889" w14:textId="77777777" w:rsidR="00F41619" w:rsidRDefault="00F41619" w:rsidP="00B72D30">
      <w:pPr>
        <w:ind w:left="360"/>
        <w:rPr>
          <w:rFonts w:ascii="Mangal Pro" w:hAnsi="Mangal Pro" w:cs="Mangal Pro"/>
          <w:b/>
          <w:bCs/>
          <w:sz w:val="22"/>
          <w:szCs w:val="22"/>
        </w:rPr>
      </w:pPr>
    </w:p>
    <w:p w14:paraId="06DB0A28" w14:textId="77777777" w:rsidR="00F41619" w:rsidRDefault="00F41619" w:rsidP="00B72D30">
      <w:pPr>
        <w:ind w:left="360"/>
        <w:rPr>
          <w:rFonts w:ascii="Mangal Pro" w:hAnsi="Mangal Pro" w:cs="Mangal Pro"/>
          <w:b/>
          <w:bCs/>
          <w:sz w:val="22"/>
          <w:szCs w:val="22"/>
        </w:rPr>
      </w:pPr>
    </w:p>
    <w:p w14:paraId="45CEA054" w14:textId="77777777" w:rsidR="00F41619" w:rsidRDefault="00F41619" w:rsidP="00B72D30">
      <w:pPr>
        <w:ind w:left="360"/>
        <w:rPr>
          <w:rFonts w:ascii="Mangal Pro" w:hAnsi="Mangal Pro" w:cs="Mangal Pro"/>
          <w:b/>
          <w:bCs/>
          <w:sz w:val="22"/>
          <w:szCs w:val="22"/>
        </w:rPr>
      </w:pPr>
    </w:p>
    <w:p w14:paraId="76E072E1" w14:textId="77777777" w:rsidR="00F41619" w:rsidRDefault="00F41619" w:rsidP="00B72D30">
      <w:pPr>
        <w:ind w:left="360"/>
        <w:rPr>
          <w:rFonts w:ascii="Mangal Pro" w:hAnsi="Mangal Pro" w:cs="Mangal Pro"/>
          <w:b/>
          <w:bCs/>
          <w:sz w:val="22"/>
          <w:szCs w:val="22"/>
        </w:rPr>
      </w:pPr>
    </w:p>
    <w:p w14:paraId="03A86170" w14:textId="77777777" w:rsidR="00F41619" w:rsidRDefault="00F41619" w:rsidP="00B72D30">
      <w:pPr>
        <w:ind w:left="360"/>
        <w:rPr>
          <w:rFonts w:ascii="Mangal Pro" w:hAnsi="Mangal Pro" w:cs="Mangal Pro"/>
          <w:b/>
          <w:bCs/>
          <w:sz w:val="22"/>
          <w:szCs w:val="22"/>
        </w:rPr>
      </w:pPr>
    </w:p>
    <w:p w14:paraId="63D9E83A" w14:textId="77777777" w:rsidR="00F41619" w:rsidRDefault="00F41619" w:rsidP="00B72D30">
      <w:pPr>
        <w:ind w:left="360"/>
        <w:rPr>
          <w:rFonts w:ascii="Mangal Pro" w:hAnsi="Mangal Pro" w:cs="Mangal Pro"/>
          <w:b/>
          <w:bCs/>
          <w:sz w:val="22"/>
          <w:szCs w:val="22"/>
        </w:rPr>
      </w:pPr>
    </w:p>
    <w:p w14:paraId="083C0881" w14:textId="77777777" w:rsidR="00F41619" w:rsidRDefault="00F41619" w:rsidP="00B72D30">
      <w:pPr>
        <w:ind w:left="360"/>
        <w:rPr>
          <w:rFonts w:ascii="Mangal Pro" w:hAnsi="Mangal Pro" w:cs="Mangal Pro"/>
          <w:b/>
          <w:bCs/>
          <w:sz w:val="22"/>
          <w:szCs w:val="22"/>
        </w:rPr>
      </w:pPr>
    </w:p>
    <w:p w14:paraId="75E62312" w14:textId="77777777" w:rsidR="00F41619" w:rsidRDefault="00F41619" w:rsidP="00B72D30">
      <w:pPr>
        <w:ind w:left="360"/>
        <w:rPr>
          <w:rFonts w:ascii="Mangal Pro" w:hAnsi="Mangal Pro" w:cs="Mangal Pro"/>
          <w:b/>
          <w:bCs/>
          <w:sz w:val="22"/>
          <w:szCs w:val="22"/>
        </w:rPr>
      </w:pPr>
    </w:p>
    <w:p w14:paraId="596756FE" w14:textId="77777777" w:rsidR="00F41619" w:rsidRDefault="00F41619" w:rsidP="00B72D30">
      <w:pPr>
        <w:ind w:left="360"/>
        <w:rPr>
          <w:rFonts w:ascii="Mangal Pro" w:hAnsi="Mangal Pro" w:cs="Mangal Pro"/>
          <w:b/>
          <w:bCs/>
          <w:sz w:val="22"/>
          <w:szCs w:val="22"/>
        </w:rPr>
      </w:pPr>
    </w:p>
    <w:p w14:paraId="33933F32" w14:textId="77777777" w:rsidR="00F41619" w:rsidRDefault="00F41619" w:rsidP="00B72D30">
      <w:pPr>
        <w:ind w:left="360"/>
        <w:rPr>
          <w:rFonts w:ascii="Mangal Pro" w:hAnsi="Mangal Pro" w:cs="Mangal Pro"/>
          <w:b/>
          <w:bCs/>
          <w:sz w:val="22"/>
          <w:szCs w:val="22"/>
        </w:rPr>
      </w:pPr>
    </w:p>
    <w:p w14:paraId="2CC599D8" w14:textId="77777777" w:rsidR="00F41619" w:rsidRDefault="00F41619" w:rsidP="00B72D30">
      <w:pPr>
        <w:ind w:left="360"/>
        <w:rPr>
          <w:rFonts w:ascii="Mangal Pro" w:hAnsi="Mangal Pro" w:cs="Mangal Pro"/>
          <w:b/>
          <w:bCs/>
          <w:sz w:val="22"/>
          <w:szCs w:val="22"/>
        </w:rPr>
      </w:pPr>
    </w:p>
    <w:p w14:paraId="45DAA3EC" w14:textId="2C5F9177" w:rsidR="008410D0" w:rsidRPr="00A0385D" w:rsidRDefault="008410D0" w:rsidP="00694BB8">
      <w:pPr>
        <w:spacing w:line="240" w:lineRule="auto"/>
        <w:ind w:left="360"/>
        <w:contextualSpacing/>
        <w:rPr>
          <w:rFonts w:ascii="Mangal Pro" w:hAnsi="Mangal Pro" w:cs="Mangal Pro"/>
          <w:b/>
          <w:bCs/>
          <w:sz w:val="32"/>
          <w:szCs w:val="32"/>
        </w:rPr>
      </w:pPr>
      <w:r w:rsidRPr="00A0385D">
        <w:rPr>
          <w:rFonts w:ascii="Mangal Pro" w:hAnsi="Mangal Pro" w:cs="Mangal Pro"/>
          <w:b/>
          <w:bCs/>
          <w:sz w:val="32"/>
          <w:szCs w:val="32"/>
        </w:rPr>
        <w:lastRenderedPageBreak/>
        <w:t>Section 11: Intensive Focus on Population(s) Experiencing Disproportionate Impact</w:t>
      </w:r>
    </w:p>
    <w:p w14:paraId="3B5A2103" w14:textId="77777777" w:rsidR="00EA79FA" w:rsidRDefault="00EA79FA" w:rsidP="00A438B6">
      <w:pPr>
        <w:spacing w:line="240" w:lineRule="auto"/>
        <w:ind w:left="360"/>
        <w:contextualSpacing/>
        <w:rPr>
          <w:rFonts w:ascii="Mangal Pro" w:hAnsi="Mangal Pro" w:cs="Mangal Pro"/>
          <w:b/>
          <w:bCs/>
          <w:sz w:val="22"/>
          <w:szCs w:val="22"/>
        </w:rPr>
      </w:pPr>
      <w:bookmarkStart w:id="0" w:name="_Hlk213873758"/>
    </w:p>
    <w:p w14:paraId="30BC484D" w14:textId="3894B114" w:rsidR="00A438B6" w:rsidRPr="00A438B6" w:rsidRDefault="00A438B6" w:rsidP="00A438B6">
      <w:pPr>
        <w:spacing w:line="240" w:lineRule="auto"/>
        <w:ind w:left="360"/>
        <w:contextualSpacing/>
        <w:rPr>
          <w:rFonts w:ascii="Mangal Pro" w:hAnsi="Mangal Pro" w:cs="Mangal Pro"/>
          <w:b/>
          <w:bCs/>
          <w:sz w:val="22"/>
          <w:szCs w:val="22"/>
        </w:rPr>
      </w:pPr>
      <w:r w:rsidRPr="00A438B6">
        <w:rPr>
          <w:rFonts w:ascii="Mangal Pro" w:hAnsi="Mangal Pro" w:cs="Mangal Pro"/>
          <w:b/>
          <w:bCs/>
          <w:sz w:val="22"/>
          <w:szCs w:val="22"/>
        </w:rPr>
        <w:t>Equity Focus: Black/African American Students – Term-to-Term Persistence</w:t>
      </w:r>
    </w:p>
    <w:p w14:paraId="282F4682" w14:textId="77777777" w:rsidR="00EA79FA" w:rsidRDefault="00EA79FA" w:rsidP="00A438B6">
      <w:pPr>
        <w:spacing w:line="240" w:lineRule="auto"/>
        <w:ind w:left="360"/>
        <w:contextualSpacing/>
        <w:rPr>
          <w:rFonts w:ascii="Mangal Pro" w:hAnsi="Mangal Pro" w:cs="Mangal Pro"/>
          <w:sz w:val="22"/>
          <w:szCs w:val="22"/>
        </w:rPr>
      </w:pPr>
    </w:p>
    <w:p w14:paraId="422E7914" w14:textId="0BB13447" w:rsidR="00A438B6" w:rsidRPr="00A438B6" w:rsidRDefault="00A438B6" w:rsidP="00A438B6">
      <w:pPr>
        <w:spacing w:line="240" w:lineRule="auto"/>
        <w:ind w:left="360"/>
        <w:contextualSpacing/>
        <w:rPr>
          <w:rFonts w:ascii="Mangal Pro" w:hAnsi="Mangal Pro" w:cs="Mangal Pro"/>
          <w:sz w:val="22"/>
          <w:szCs w:val="22"/>
        </w:rPr>
      </w:pPr>
      <w:r w:rsidRPr="00A438B6">
        <w:rPr>
          <w:rFonts w:ascii="Mangal Pro" w:hAnsi="Mangal Pro" w:cs="Mangal Pro"/>
          <w:sz w:val="22"/>
          <w:szCs w:val="22"/>
        </w:rPr>
        <w:t>Black/African American students at SBVC continue to experience disproportionate impact in term-to-term persistence and Vision Goal completion. To address these gaps, SBVC will implement intentional strategies that provide targeted support, strengthen engagement, and ensure equitable outcomes.</w:t>
      </w:r>
    </w:p>
    <w:p w14:paraId="706912A5" w14:textId="77777777" w:rsidR="00EA79FA" w:rsidRDefault="00EA79FA" w:rsidP="00A438B6">
      <w:pPr>
        <w:spacing w:line="240" w:lineRule="auto"/>
        <w:ind w:left="360"/>
        <w:contextualSpacing/>
        <w:rPr>
          <w:rFonts w:ascii="Mangal Pro" w:hAnsi="Mangal Pro" w:cs="Mangal Pro"/>
          <w:b/>
          <w:bCs/>
          <w:sz w:val="22"/>
          <w:szCs w:val="22"/>
        </w:rPr>
      </w:pPr>
    </w:p>
    <w:p w14:paraId="0BE7DC92" w14:textId="38B0C457" w:rsidR="00A438B6" w:rsidRPr="00A438B6" w:rsidRDefault="00A438B6" w:rsidP="00A438B6">
      <w:pPr>
        <w:spacing w:line="240" w:lineRule="auto"/>
        <w:ind w:left="360"/>
        <w:contextualSpacing/>
        <w:rPr>
          <w:rFonts w:ascii="Mangal Pro" w:hAnsi="Mangal Pro" w:cs="Mangal Pro"/>
          <w:b/>
          <w:bCs/>
          <w:sz w:val="22"/>
          <w:szCs w:val="22"/>
        </w:rPr>
      </w:pPr>
      <w:r w:rsidRPr="00A438B6">
        <w:rPr>
          <w:rFonts w:ascii="Mangal Pro" w:hAnsi="Mangal Pro" w:cs="Mangal Pro"/>
          <w:b/>
          <w:bCs/>
          <w:sz w:val="22"/>
          <w:szCs w:val="22"/>
        </w:rPr>
        <w:t>Action Plan 1: Intrusive Counseling and Early Alert Systems</w:t>
      </w:r>
    </w:p>
    <w:p w14:paraId="59057A85" w14:textId="77777777" w:rsidR="00A438B6" w:rsidRPr="00A438B6" w:rsidRDefault="00A438B6" w:rsidP="005C740D">
      <w:pPr>
        <w:numPr>
          <w:ilvl w:val="0"/>
          <w:numId w:val="59"/>
        </w:numPr>
        <w:spacing w:line="240" w:lineRule="auto"/>
        <w:contextualSpacing/>
        <w:rPr>
          <w:rFonts w:ascii="Mangal Pro" w:hAnsi="Mangal Pro" w:cs="Mangal Pro"/>
          <w:sz w:val="22"/>
          <w:szCs w:val="22"/>
        </w:rPr>
      </w:pPr>
      <w:r w:rsidRPr="00A438B6">
        <w:rPr>
          <w:rFonts w:ascii="Mangal Pro" w:hAnsi="Mangal Pro" w:cs="Mangal Pro"/>
          <w:sz w:val="22"/>
          <w:szCs w:val="22"/>
        </w:rPr>
        <w:t>Implement proactive counseling interventions to identify students at risk of not persisting.</w:t>
      </w:r>
    </w:p>
    <w:p w14:paraId="423A23F9" w14:textId="77777777" w:rsidR="00A438B6" w:rsidRPr="00A438B6" w:rsidRDefault="00A438B6" w:rsidP="005C740D">
      <w:pPr>
        <w:numPr>
          <w:ilvl w:val="0"/>
          <w:numId w:val="59"/>
        </w:numPr>
        <w:spacing w:line="240" w:lineRule="auto"/>
        <w:contextualSpacing/>
        <w:rPr>
          <w:rFonts w:ascii="Mangal Pro" w:hAnsi="Mangal Pro" w:cs="Mangal Pro"/>
          <w:sz w:val="22"/>
          <w:szCs w:val="22"/>
        </w:rPr>
      </w:pPr>
      <w:r w:rsidRPr="00A438B6">
        <w:rPr>
          <w:rFonts w:ascii="Mangal Pro" w:hAnsi="Mangal Pro" w:cs="Mangal Pro"/>
          <w:sz w:val="22"/>
          <w:szCs w:val="22"/>
        </w:rPr>
        <w:t>Use early alert technology to flag attendance, academic performance, and financial aid challenges.</w:t>
      </w:r>
    </w:p>
    <w:p w14:paraId="4B82D143" w14:textId="77777777" w:rsidR="00A438B6" w:rsidRPr="00A438B6" w:rsidRDefault="00A438B6" w:rsidP="005C740D">
      <w:pPr>
        <w:numPr>
          <w:ilvl w:val="0"/>
          <w:numId w:val="59"/>
        </w:numPr>
        <w:spacing w:line="240" w:lineRule="auto"/>
        <w:contextualSpacing/>
        <w:rPr>
          <w:rFonts w:ascii="Mangal Pro" w:hAnsi="Mangal Pro" w:cs="Mangal Pro"/>
          <w:sz w:val="22"/>
          <w:szCs w:val="22"/>
        </w:rPr>
      </w:pPr>
      <w:r w:rsidRPr="00A438B6">
        <w:rPr>
          <w:rFonts w:ascii="Mangal Pro" w:hAnsi="Mangal Pro" w:cs="Mangal Pro"/>
          <w:sz w:val="22"/>
          <w:szCs w:val="22"/>
        </w:rPr>
        <w:t>Connect students immediately to advising, tutoring, and financial resources.</w:t>
      </w:r>
    </w:p>
    <w:p w14:paraId="74A2CDF4" w14:textId="77777777" w:rsidR="00A438B6" w:rsidRPr="00A438B6" w:rsidRDefault="00A438B6" w:rsidP="005C740D">
      <w:pPr>
        <w:spacing w:line="240" w:lineRule="auto"/>
        <w:ind w:left="360"/>
        <w:contextualSpacing/>
        <w:rPr>
          <w:rFonts w:ascii="Mangal Pro" w:hAnsi="Mangal Pro" w:cs="Mangal Pro"/>
          <w:sz w:val="22"/>
          <w:szCs w:val="22"/>
        </w:rPr>
      </w:pPr>
      <w:r w:rsidRPr="00A438B6">
        <w:rPr>
          <w:rFonts w:ascii="Mangal Pro" w:hAnsi="Mangal Pro" w:cs="Mangal Pro"/>
          <w:sz w:val="22"/>
          <w:szCs w:val="22"/>
        </w:rPr>
        <w:t>Measurement of Success: Track persistence rates of Black/African American students flagged by early alert compared to those not flagged, aiming for year-over-year improvement and parity with overall student persistence rates by 2030.</w:t>
      </w:r>
    </w:p>
    <w:p w14:paraId="551AA687" w14:textId="77777777" w:rsidR="00EA79FA" w:rsidRDefault="00EA79FA" w:rsidP="005C740D">
      <w:pPr>
        <w:spacing w:line="240" w:lineRule="auto"/>
        <w:ind w:left="360"/>
        <w:contextualSpacing/>
        <w:rPr>
          <w:rFonts w:ascii="Mangal Pro" w:hAnsi="Mangal Pro" w:cs="Mangal Pro"/>
          <w:b/>
          <w:bCs/>
          <w:sz w:val="22"/>
          <w:szCs w:val="22"/>
        </w:rPr>
      </w:pPr>
    </w:p>
    <w:p w14:paraId="24C408F2" w14:textId="09FD4A5E" w:rsidR="00A438B6" w:rsidRPr="00A438B6" w:rsidRDefault="00A438B6" w:rsidP="005C740D">
      <w:pPr>
        <w:spacing w:line="240" w:lineRule="auto"/>
        <w:ind w:left="360"/>
        <w:contextualSpacing/>
        <w:rPr>
          <w:rFonts w:ascii="Mangal Pro" w:hAnsi="Mangal Pro" w:cs="Mangal Pro"/>
          <w:b/>
          <w:bCs/>
          <w:sz w:val="22"/>
          <w:szCs w:val="22"/>
        </w:rPr>
      </w:pPr>
      <w:r w:rsidRPr="00A438B6">
        <w:rPr>
          <w:rFonts w:ascii="Mangal Pro" w:hAnsi="Mangal Pro" w:cs="Mangal Pro"/>
          <w:b/>
          <w:bCs/>
          <w:sz w:val="22"/>
          <w:szCs w:val="22"/>
        </w:rPr>
        <w:t>Action Plan 2: Culturally Responsive Learning Communities and Mentorship</w:t>
      </w:r>
    </w:p>
    <w:p w14:paraId="0F97F6C5" w14:textId="77777777" w:rsidR="00A438B6" w:rsidRPr="00A438B6" w:rsidRDefault="00A438B6" w:rsidP="005C740D">
      <w:pPr>
        <w:numPr>
          <w:ilvl w:val="0"/>
          <w:numId w:val="60"/>
        </w:numPr>
        <w:spacing w:line="240" w:lineRule="auto"/>
        <w:contextualSpacing/>
        <w:rPr>
          <w:rFonts w:ascii="Mangal Pro" w:hAnsi="Mangal Pro" w:cs="Mangal Pro"/>
          <w:sz w:val="22"/>
          <w:szCs w:val="22"/>
        </w:rPr>
      </w:pPr>
      <w:r w:rsidRPr="00A438B6">
        <w:rPr>
          <w:rFonts w:ascii="Mangal Pro" w:hAnsi="Mangal Pro" w:cs="Mangal Pro"/>
          <w:sz w:val="22"/>
          <w:szCs w:val="22"/>
        </w:rPr>
        <w:t>Expand culturally responsive learning communities that affirm identity and provide academic support.</w:t>
      </w:r>
    </w:p>
    <w:p w14:paraId="53E2A8A6" w14:textId="77777777" w:rsidR="00A438B6" w:rsidRPr="00A438B6" w:rsidRDefault="00A438B6" w:rsidP="005C740D">
      <w:pPr>
        <w:numPr>
          <w:ilvl w:val="0"/>
          <w:numId w:val="60"/>
        </w:numPr>
        <w:spacing w:line="240" w:lineRule="auto"/>
        <w:contextualSpacing/>
        <w:rPr>
          <w:rFonts w:ascii="Mangal Pro" w:hAnsi="Mangal Pro" w:cs="Mangal Pro"/>
          <w:sz w:val="22"/>
          <w:szCs w:val="22"/>
        </w:rPr>
      </w:pPr>
      <w:r w:rsidRPr="00A438B6">
        <w:rPr>
          <w:rFonts w:ascii="Mangal Pro" w:hAnsi="Mangal Pro" w:cs="Mangal Pro"/>
          <w:sz w:val="22"/>
          <w:szCs w:val="22"/>
        </w:rPr>
        <w:t>Pair students with faculty/staff mentors and peer mentors to strengthen belonging and accountability.</w:t>
      </w:r>
    </w:p>
    <w:p w14:paraId="396CD447" w14:textId="77777777" w:rsidR="00A438B6" w:rsidRPr="00A438B6" w:rsidRDefault="00A438B6" w:rsidP="005C740D">
      <w:pPr>
        <w:numPr>
          <w:ilvl w:val="0"/>
          <w:numId w:val="60"/>
        </w:numPr>
        <w:spacing w:line="240" w:lineRule="auto"/>
        <w:contextualSpacing/>
        <w:rPr>
          <w:rFonts w:ascii="Mangal Pro" w:hAnsi="Mangal Pro" w:cs="Mangal Pro"/>
          <w:sz w:val="22"/>
          <w:szCs w:val="22"/>
        </w:rPr>
      </w:pPr>
      <w:r w:rsidRPr="00A438B6">
        <w:rPr>
          <w:rFonts w:ascii="Mangal Pro" w:hAnsi="Mangal Pro" w:cs="Mangal Pro"/>
          <w:sz w:val="22"/>
          <w:szCs w:val="22"/>
        </w:rPr>
        <w:t>Offer workshops focused on transfer readiness, financial literacy, and career planning.</w:t>
      </w:r>
    </w:p>
    <w:p w14:paraId="3A264CEF" w14:textId="77777777" w:rsidR="00EA79FA" w:rsidRDefault="00EA79FA" w:rsidP="005C740D">
      <w:pPr>
        <w:spacing w:line="240" w:lineRule="auto"/>
        <w:ind w:left="360"/>
        <w:contextualSpacing/>
        <w:rPr>
          <w:rFonts w:ascii="Mangal Pro" w:hAnsi="Mangal Pro" w:cs="Mangal Pro"/>
          <w:sz w:val="22"/>
          <w:szCs w:val="22"/>
        </w:rPr>
      </w:pPr>
    </w:p>
    <w:p w14:paraId="1F1877D2" w14:textId="7A737396" w:rsidR="00A438B6" w:rsidRPr="00A438B6" w:rsidRDefault="00A438B6" w:rsidP="005C740D">
      <w:pPr>
        <w:spacing w:line="240" w:lineRule="auto"/>
        <w:ind w:left="360"/>
        <w:contextualSpacing/>
        <w:rPr>
          <w:rFonts w:ascii="Mangal Pro" w:hAnsi="Mangal Pro" w:cs="Mangal Pro"/>
          <w:sz w:val="22"/>
          <w:szCs w:val="22"/>
        </w:rPr>
      </w:pPr>
      <w:r w:rsidRPr="00A438B6">
        <w:rPr>
          <w:rFonts w:ascii="Mangal Pro" w:hAnsi="Mangal Pro" w:cs="Mangal Pro"/>
          <w:sz w:val="22"/>
          <w:szCs w:val="22"/>
        </w:rPr>
        <w:t xml:space="preserve">Measurement of Success: Monitor participation rates in learning communities and mentorship </w:t>
      </w:r>
      <w:r w:rsidR="0083327A" w:rsidRPr="00A438B6">
        <w:rPr>
          <w:rFonts w:ascii="Mangal Pro" w:hAnsi="Mangal Pro" w:cs="Mangal Pro"/>
          <w:sz w:val="22"/>
          <w:szCs w:val="22"/>
        </w:rPr>
        <w:t>programs and</w:t>
      </w:r>
      <w:r w:rsidRPr="00A438B6">
        <w:rPr>
          <w:rFonts w:ascii="Mangal Pro" w:hAnsi="Mangal Pro" w:cs="Mangal Pro"/>
          <w:sz w:val="22"/>
          <w:szCs w:val="22"/>
        </w:rPr>
        <w:t xml:space="preserve"> compare persistence and completion outcomes of participants versus non-participants. Target: close the persistence gap by 2030.</w:t>
      </w:r>
    </w:p>
    <w:p w14:paraId="38D5C7C1" w14:textId="77777777" w:rsidR="00722C35" w:rsidRDefault="00722C35" w:rsidP="005C740D">
      <w:pPr>
        <w:spacing w:line="240" w:lineRule="auto"/>
        <w:ind w:left="360"/>
        <w:contextualSpacing/>
        <w:rPr>
          <w:rFonts w:ascii="Mangal Pro" w:hAnsi="Mangal Pro" w:cs="Mangal Pro"/>
          <w:sz w:val="22"/>
          <w:szCs w:val="22"/>
        </w:rPr>
      </w:pPr>
    </w:p>
    <w:p w14:paraId="08B96678" w14:textId="28ED7608" w:rsidR="00A438B6" w:rsidRPr="00A438B6" w:rsidRDefault="00A438B6" w:rsidP="005C740D">
      <w:pPr>
        <w:spacing w:line="240" w:lineRule="auto"/>
        <w:ind w:left="360"/>
        <w:contextualSpacing/>
        <w:rPr>
          <w:rFonts w:ascii="Mangal Pro" w:hAnsi="Mangal Pro" w:cs="Mangal Pro"/>
          <w:sz w:val="22"/>
          <w:szCs w:val="22"/>
        </w:rPr>
      </w:pPr>
      <w:r w:rsidRPr="00A438B6">
        <w:rPr>
          <w:rFonts w:ascii="Mangal Pro" w:hAnsi="Mangal Pro" w:cs="Mangal Pro"/>
          <w:sz w:val="22"/>
          <w:szCs w:val="22"/>
        </w:rPr>
        <w:lastRenderedPageBreak/>
        <w:t>Support Commitment</w:t>
      </w:r>
    </w:p>
    <w:p w14:paraId="4B9CBF64" w14:textId="77777777" w:rsidR="00A438B6" w:rsidRDefault="00A438B6" w:rsidP="005C740D">
      <w:pPr>
        <w:spacing w:line="240" w:lineRule="auto"/>
        <w:ind w:left="360"/>
        <w:contextualSpacing/>
        <w:rPr>
          <w:rFonts w:ascii="Mangal Pro" w:hAnsi="Mangal Pro" w:cs="Mangal Pro"/>
          <w:sz w:val="22"/>
          <w:szCs w:val="22"/>
        </w:rPr>
      </w:pPr>
      <w:r w:rsidRPr="00A438B6">
        <w:rPr>
          <w:rFonts w:ascii="Mangal Pro" w:hAnsi="Mangal Pro" w:cs="Mangal Pro"/>
          <w:sz w:val="22"/>
          <w:szCs w:val="22"/>
        </w:rPr>
        <w:t>SBVC will support Black/African American students by embedding equity into curriculum, instruction, and student services. This includes culturally responsive pedagogy, expanded financial aid outreach, and intentional community-building efforts. By aligning these supports with Vision 2030, SBVC ensures that persistence and completion outcomes reflect the true potential of all students.</w:t>
      </w:r>
    </w:p>
    <w:p w14:paraId="760F66B8" w14:textId="77777777" w:rsidR="005C740D" w:rsidRDefault="005C740D" w:rsidP="005C740D">
      <w:pPr>
        <w:spacing w:line="240" w:lineRule="auto"/>
        <w:ind w:left="360"/>
        <w:contextualSpacing/>
        <w:rPr>
          <w:rFonts w:ascii="Mangal Pro" w:hAnsi="Mangal Pro" w:cs="Mangal Pro"/>
          <w:sz w:val="22"/>
          <w:szCs w:val="22"/>
        </w:rPr>
      </w:pPr>
    </w:p>
    <w:p w14:paraId="5FD838DC" w14:textId="77777777" w:rsidR="007654F7" w:rsidRPr="007654F7" w:rsidRDefault="007654F7" w:rsidP="007654F7">
      <w:pPr>
        <w:spacing w:line="240" w:lineRule="auto"/>
        <w:ind w:left="360"/>
        <w:contextualSpacing/>
        <w:rPr>
          <w:rFonts w:ascii="Mangal Pro" w:hAnsi="Mangal Pro" w:cs="Mangal Pro"/>
          <w:b/>
          <w:bCs/>
          <w:sz w:val="22"/>
          <w:szCs w:val="22"/>
        </w:rPr>
      </w:pPr>
      <w:r w:rsidRPr="007654F7">
        <w:rPr>
          <w:rFonts w:ascii="Mangal Pro" w:hAnsi="Mangal Pro" w:cs="Mangal Pro"/>
          <w:b/>
          <w:bCs/>
          <w:sz w:val="22"/>
          <w:szCs w:val="22"/>
        </w:rPr>
        <w:t>Equity Focus: Hispanic/Latine Students – Transfer to Four-Year Universities</w:t>
      </w:r>
    </w:p>
    <w:p w14:paraId="5771771A" w14:textId="77777777" w:rsidR="00EA79FA" w:rsidRDefault="00EA79FA" w:rsidP="007654F7">
      <w:pPr>
        <w:spacing w:line="240" w:lineRule="auto"/>
        <w:ind w:left="360"/>
        <w:rPr>
          <w:rFonts w:ascii="Mangal Pro" w:hAnsi="Mangal Pro" w:cs="Mangal Pro"/>
          <w:sz w:val="22"/>
          <w:szCs w:val="22"/>
        </w:rPr>
      </w:pPr>
    </w:p>
    <w:p w14:paraId="050A287E" w14:textId="6A624802" w:rsidR="007654F7" w:rsidRPr="007654F7" w:rsidRDefault="007654F7" w:rsidP="007654F7">
      <w:pPr>
        <w:spacing w:line="240" w:lineRule="auto"/>
        <w:ind w:left="360"/>
        <w:rPr>
          <w:rFonts w:ascii="Mangal Pro" w:hAnsi="Mangal Pro" w:cs="Mangal Pro"/>
          <w:sz w:val="22"/>
          <w:szCs w:val="22"/>
        </w:rPr>
      </w:pPr>
      <w:r w:rsidRPr="007654F7">
        <w:rPr>
          <w:rFonts w:ascii="Mangal Pro" w:hAnsi="Mangal Pro" w:cs="Mangal Pro"/>
          <w:sz w:val="22"/>
          <w:szCs w:val="22"/>
        </w:rPr>
        <w:t>Hispanic/Latine students at SBVC experience disproportionate impact in lower transfer rates to four-year universities. To close these gaps, SBVC will implement intentional, equity-driven strategies that strengthen academic pathways, provide culturally responsive support, and ensure successful transfer outcomes.</w:t>
      </w:r>
    </w:p>
    <w:p w14:paraId="71C011B5" w14:textId="77777777" w:rsidR="007654F7" w:rsidRPr="007654F7" w:rsidRDefault="007654F7" w:rsidP="007654F7">
      <w:pPr>
        <w:spacing w:line="240" w:lineRule="auto"/>
        <w:ind w:left="360"/>
        <w:rPr>
          <w:rFonts w:ascii="Mangal Pro" w:hAnsi="Mangal Pro" w:cs="Mangal Pro"/>
          <w:b/>
          <w:bCs/>
          <w:sz w:val="22"/>
          <w:szCs w:val="22"/>
        </w:rPr>
      </w:pPr>
      <w:r w:rsidRPr="007654F7">
        <w:rPr>
          <w:rFonts w:ascii="Mangal Pro" w:hAnsi="Mangal Pro" w:cs="Mangal Pro"/>
          <w:b/>
          <w:bCs/>
          <w:sz w:val="22"/>
          <w:szCs w:val="22"/>
        </w:rPr>
        <w:t>Action Plan 1: Strengthen Guided Pathways and Transfer Readiness</w:t>
      </w:r>
    </w:p>
    <w:p w14:paraId="707445D6" w14:textId="77777777" w:rsidR="007654F7" w:rsidRPr="007654F7" w:rsidRDefault="007654F7" w:rsidP="007654F7">
      <w:pPr>
        <w:numPr>
          <w:ilvl w:val="0"/>
          <w:numId w:val="61"/>
        </w:numPr>
        <w:spacing w:line="240" w:lineRule="auto"/>
        <w:rPr>
          <w:rFonts w:ascii="Mangal Pro" w:hAnsi="Mangal Pro" w:cs="Mangal Pro"/>
          <w:sz w:val="22"/>
          <w:szCs w:val="22"/>
        </w:rPr>
      </w:pPr>
      <w:r w:rsidRPr="007654F7">
        <w:rPr>
          <w:rFonts w:ascii="Mangal Pro" w:hAnsi="Mangal Pro" w:cs="Mangal Pro"/>
          <w:sz w:val="22"/>
          <w:szCs w:val="22"/>
        </w:rPr>
        <w:t>Expand guided pathways with clear milestones for transfer preparation.</w:t>
      </w:r>
    </w:p>
    <w:p w14:paraId="37A810F6" w14:textId="77777777" w:rsidR="007654F7" w:rsidRPr="007654F7" w:rsidRDefault="007654F7" w:rsidP="007654F7">
      <w:pPr>
        <w:numPr>
          <w:ilvl w:val="0"/>
          <w:numId w:val="61"/>
        </w:numPr>
        <w:spacing w:line="240" w:lineRule="auto"/>
        <w:rPr>
          <w:rFonts w:ascii="Mangal Pro" w:hAnsi="Mangal Pro" w:cs="Mangal Pro"/>
          <w:sz w:val="22"/>
          <w:szCs w:val="22"/>
        </w:rPr>
      </w:pPr>
      <w:r w:rsidRPr="007654F7">
        <w:rPr>
          <w:rFonts w:ascii="Mangal Pro" w:hAnsi="Mangal Pro" w:cs="Mangal Pro"/>
          <w:sz w:val="22"/>
          <w:szCs w:val="22"/>
        </w:rPr>
        <w:t>Provide intrusive counseling focused on transfer planning, financial aid literacy, and academic advising.</w:t>
      </w:r>
    </w:p>
    <w:p w14:paraId="459F8EB3" w14:textId="77777777" w:rsidR="007654F7" w:rsidRPr="007654F7" w:rsidRDefault="007654F7" w:rsidP="007654F7">
      <w:pPr>
        <w:numPr>
          <w:ilvl w:val="0"/>
          <w:numId w:val="61"/>
        </w:numPr>
        <w:spacing w:line="240" w:lineRule="auto"/>
        <w:rPr>
          <w:rFonts w:ascii="Mangal Pro" w:hAnsi="Mangal Pro" w:cs="Mangal Pro"/>
          <w:sz w:val="22"/>
          <w:szCs w:val="22"/>
        </w:rPr>
      </w:pPr>
      <w:r w:rsidRPr="007654F7">
        <w:rPr>
          <w:rFonts w:ascii="Mangal Pro" w:hAnsi="Mangal Pro" w:cs="Mangal Pro"/>
          <w:sz w:val="22"/>
          <w:szCs w:val="22"/>
        </w:rPr>
        <w:t>Partner with four-year universities to streamline articulation agreements and transfer workshops.</w:t>
      </w:r>
    </w:p>
    <w:p w14:paraId="153240FF" w14:textId="77777777" w:rsidR="007654F7" w:rsidRPr="007654F7" w:rsidRDefault="007654F7" w:rsidP="007654F7">
      <w:pPr>
        <w:spacing w:line="240" w:lineRule="auto"/>
        <w:ind w:left="360"/>
        <w:rPr>
          <w:rFonts w:ascii="Mangal Pro" w:hAnsi="Mangal Pro" w:cs="Mangal Pro"/>
          <w:sz w:val="22"/>
          <w:szCs w:val="22"/>
        </w:rPr>
      </w:pPr>
      <w:r w:rsidRPr="007654F7">
        <w:rPr>
          <w:rFonts w:ascii="Mangal Pro" w:hAnsi="Mangal Pro" w:cs="Mangal Pro"/>
          <w:b/>
          <w:bCs/>
          <w:sz w:val="22"/>
          <w:szCs w:val="22"/>
        </w:rPr>
        <w:t>Measurement of Success:</w:t>
      </w:r>
      <w:r w:rsidRPr="007654F7">
        <w:rPr>
          <w:rFonts w:ascii="Mangal Pro" w:hAnsi="Mangal Pro" w:cs="Mangal Pro"/>
          <w:sz w:val="22"/>
          <w:szCs w:val="22"/>
        </w:rPr>
        <w:t xml:space="preserve"> Track annual transfer rates of Hispanic/Latine students, comparing progress against baseline data. Target: year-over-year increase in transfer rates, with parity achieved by 2030.</w:t>
      </w:r>
    </w:p>
    <w:p w14:paraId="22C91093" w14:textId="77777777" w:rsidR="00EA79FA" w:rsidRDefault="00EA79FA" w:rsidP="007654F7">
      <w:pPr>
        <w:spacing w:line="240" w:lineRule="auto"/>
        <w:ind w:left="360"/>
        <w:rPr>
          <w:rFonts w:ascii="Mangal Pro" w:hAnsi="Mangal Pro" w:cs="Mangal Pro"/>
          <w:b/>
          <w:bCs/>
          <w:sz w:val="22"/>
          <w:szCs w:val="22"/>
        </w:rPr>
      </w:pPr>
    </w:p>
    <w:p w14:paraId="43F4338E" w14:textId="36F2FC62" w:rsidR="007654F7" w:rsidRPr="007654F7" w:rsidRDefault="007654F7" w:rsidP="007654F7">
      <w:pPr>
        <w:spacing w:line="240" w:lineRule="auto"/>
        <w:ind w:left="360"/>
        <w:rPr>
          <w:rFonts w:ascii="Mangal Pro" w:hAnsi="Mangal Pro" w:cs="Mangal Pro"/>
          <w:b/>
          <w:bCs/>
          <w:sz w:val="22"/>
          <w:szCs w:val="22"/>
        </w:rPr>
      </w:pPr>
      <w:r w:rsidRPr="007654F7">
        <w:rPr>
          <w:rFonts w:ascii="Mangal Pro" w:hAnsi="Mangal Pro" w:cs="Mangal Pro"/>
          <w:b/>
          <w:bCs/>
          <w:sz w:val="22"/>
          <w:szCs w:val="22"/>
        </w:rPr>
        <w:t>Action Plan 2: Expand Culturally Responsive Learning Communities and Mentorship</w:t>
      </w:r>
    </w:p>
    <w:p w14:paraId="0A6A9BEA" w14:textId="77777777" w:rsidR="007654F7" w:rsidRPr="007654F7" w:rsidRDefault="007654F7" w:rsidP="007654F7">
      <w:pPr>
        <w:numPr>
          <w:ilvl w:val="0"/>
          <w:numId w:val="62"/>
        </w:numPr>
        <w:spacing w:line="240" w:lineRule="auto"/>
        <w:rPr>
          <w:rFonts w:ascii="Mangal Pro" w:hAnsi="Mangal Pro" w:cs="Mangal Pro"/>
          <w:sz w:val="22"/>
          <w:szCs w:val="22"/>
        </w:rPr>
      </w:pPr>
      <w:r w:rsidRPr="007654F7">
        <w:rPr>
          <w:rFonts w:ascii="Mangal Pro" w:hAnsi="Mangal Pro" w:cs="Mangal Pro"/>
          <w:sz w:val="22"/>
          <w:szCs w:val="22"/>
        </w:rPr>
        <w:t>Enhance learning communities that affirm cultural identity and provide academic support.</w:t>
      </w:r>
    </w:p>
    <w:p w14:paraId="36EC24DE" w14:textId="77777777" w:rsidR="007654F7" w:rsidRPr="007654F7" w:rsidRDefault="007654F7" w:rsidP="007654F7">
      <w:pPr>
        <w:numPr>
          <w:ilvl w:val="0"/>
          <w:numId w:val="62"/>
        </w:numPr>
        <w:spacing w:line="240" w:lineRule="auto"/>
        <w:rPr>
          <w:rFonts w:ascii="Mangal Pro" w:hAnsi="Mangal Pro" w:cs="Mangal Pro"/>
          <w:sz w:val="22"/>
          <w:szCs w:val="22"/>
        </w:rPr>
      </w:pPr>
      <w:r w:rsidRPr="007654F7">
        <w:rPr>
          <w:rFonts w:ascii="Mangal Pro" w:hAnsi="Mangal Pro" w:cs="Mangal Pro"/>
          <w:sz w:val="22"/>
          <w:szCs w:val="22"/>
        </w:rPr>
        <w:t>Pair students with faculty/staff mentors and peer mentors to strengthen belonging and accountability.</w:t>
      </w:r>
    </w:p>
    <w:p w14:paraId="1C4F2FB8" w14:textId="77777777" w:rsidR="007654F7" w:rsidRPr="007654F7" w:rsidRDefault="007654F7" w:rsidP="007654F7">
      <w:pPr>
        <w:numPr>
          <w:ilvl w:val="0"/>
          <w:numId w:val="62"/>
        </w:numPr>
        <w:spacing w:line="240" w:lineRule="auto"/>
        <w:rPr>
          <w:rFonts w:ascii="Mangal Pro" w:hAnsi="Mangal Pro" w:cs="Mangal Pro"/>
          <w:sz w:val="22"/>
          <w:szCs w:val="22"/>
        </w:rPr>
      </w:pPr>
      <w:r w:rsidRPr="007654F7">
        <w:rPr>
          <w:rFonts w:ascii="Mangal Pro" w:hAnsi="Mangal Pro" w:cs="Mangal Pro"/>
          <w:sz w:val="22"/>
          <w:szCs w:val="22"/>
        </w:rPr>
        <w:lastRenderedPageBreak/>
        <w:t>Offer workshops on career readiness, leadership, and navigating university systems.</w:t>
      </w:r>
    </w:p>
    <w:p w14:paraId="24E65BDE" w14:textId="77777777" w:rsidR="007654F7" w:rsidRPr="007654F7" w:rsidRDefault="007654F7" w:rsidP="007654F7">
      <w:pPr>
        <w:spacing w:line="240" w:lineRule="auto"/>
        <w:ind w:left="360"/>
        <w:rPr>
          <w:rFonts w:ascii="Mangal Pro" w:hAnsi="Mangal Pro" w:cs="Mangal Pro"/>
          <w:sz w:val="22"/>
          <w:szCs w:val="22"/>
        </w:rPr>
      </w:pPr>
      <w:r w:rsidRPr="007654F7">
        <w:rPr>
          <w:rFonts w:ascii="Mangal Pro" w:hAnsi="Mangal Pro" w:cs="Mangal Pro"/>
          <w:b/>
          <w:bCs/>
          <w:sz w:val="22"/>
          <w:szCs w:val="22"/>
        </w:rPr>
        <w:t>Measurement of Success:</w:t>
      </w:r>
      <w:r w:rsidRPr="007654F7">
        <w:rPr>
          <w:rFonts w:ascii="Mangal Pro" w:hAnsi="Mangal Pro" w:cs="Mangal Pro"/>
          <w:sz w:val="22"/>
          <w:szCs w:val="22"/>
        </w:rPr>
        <w:t xml:space="preserve"> Monitor participation rates in learning communities and mentorship programs. Compare persistence and transfer outcomes of participants versus non-participants. Target: close persistence and completion gaps by 2030.</w:t>
      </w:r>
    </w:p>
    <w:p w14:paraId="345F2C11" w14:textId="77777777" w:rsidR="007654F7" w:rsidRPr="007654F7" w:rsidRDefault="007654F7" w:rsidP="007654F7">
      <w:pPr>
        <w:spacing w:line="240" w:lineRule="auto"/>
        <w:ind w:left="360"/>
        <w:rPr>
          <w:rFonts w:ascii="Mangal Pro" w:hAnsi="Mangal Pro" w:cs="Mangal Pro"/>
          <w:b/>
          <w:bCs/>
          <w:sz w:val="22"/>
          <w:szCs w:val="22"/>
        </w:rPr>
      </w:pPr>
      <w:r w:rsidRPr="007654F7">
        <w:rPr>
          <w:rFonts w:ascii="Mangal Pro" w:hAnsi="Mangal Pro" w:cs="Mangal Pro"/>
          <w:b/>
          <w:bCs/>
          <w:sz w:val="22"/>
          <w:szCs w:val="22"/>
        </w:rPr>
        <w:t>Support Commitment</w:t>
      </w:r>
    </w:p>
    <w:p w14:paraId="422A488A" w14:textId="77777777" w:rsidR="007654F7" w:rsidRPr="007654F7" w:rsidRDefault="007654F7" w:rsidP="007654F7">
      <w:pPr>
        <w:spacing w:line="240" w:lineRule="auto"/>
        <w:ind w:left="360"/>
        <w:rPr>
          <w:rFonts w:ascii="Mangal Pro" w:hAnsi="Mangal Pro" w:cs="Mangal Pro"/>
          <w:sz w:val="22"/>
          <w:szCs w:val="22"/>
        </w:rPr>
      </w:pPr>
      <w:r w:rsidRPr="007654F7">
        <w:rPr>
          <w:rFonts w:ascii="Mangal Pro" w:hAnsi="Mangal Pro" w:cs="Mangal Pro"/>
          <w:sz w:val="22"/>
          <w:szCs w:val="22"/>
        </w:rPr>
        <w:t>SBVC will support Hispanic/Latine students by embedding equity into curriculum, instruction, and student services. This includes culturally responsive pedagogy, expanded financial aid outreach, and intentional community-building efforts. By aligning these supports with Vision 2030, SBVC ensures that Hispanic/Latine students achieve equitable transfer outcomes and thrive both academically and personally.</w:t>
      </w:r>
    </w:p>
    <w:p w14:paraId="2590A2BC" w14:textId="77777777" w:rsidR="005C740D" w:rsidRPr="00A438B6" w:rsidRDefault="005C740D" w:rsidP="005C740D">
      <w:pPr>
        <w:spacing w:line="240" w:lineRule="auto"/>
        <w:ind w:left="360"/>
        <w:contextualSpacing/>
        <w:rPr>
          <w:rFonts w:ascii="Mangal Pro" w:hAnsi="Mangal Pro" w:cs="Mangal Pro"/>
          <w:sz w:val="22"/>
          <w:szCs w:val="22"/>
        </w:rPr>
      </w:pPr>
    </w:p>
    <w:p w14:paraId="237F2CAA" w14:textId="77777777" w:rsidR="00A0385D" w:rsidRDefault="00A0385D" w:rsidP="005C740D">
      <w:pPr>
        <w:spacing w:line="240" w:lineRule="auto"/>
        <w:ind w:left="360"/>
        <w:contextualSpacing/>
        <w:rPr>
          <w:rFonts w:ascii="Mangal Pro" w:hAnsi="Mangal Pro" w:cs="Mangal Pro"/>
          <w:b/>
          <w:bCs/>
          <w:sz w:val="22"/>
          <w:szCs w:val="22"/>
        </w:rPr>
      </w:pPr>
    </w:p>
    <w:p w14:paraId="390BD390" w14:textId="77777777" w:rsidR="00A0385D" w:rsidRDefault="00A0385D" w:rsidP="00B72D30">
      <w:pPr>
        <w:ind w:left="360"/>
        <w:rPr>
          <w:rFonts w:ascii="Mangal Pro" w:hAnsi="Mangal Pro" w:cs="Mangal Pro"/>
          <w:b/>
          <w:bCs/>
          <w:sz w:val="22"/>
          <w:szCs w:val="22"/>
        </w:rPr>
      </w:pPr>
    </w:p>
    <w:p w14:paraId="06541B32" w14:textId="77777777" w:rsidR="00A0385D" w:rsidRDefault="00A0385D" w:rsidP="00B72D30">
      <w:pPr>
        <w:ind w:left="360"/>
        <w:rPr>
          <w:rFonts w:ascii="Mangal Pro" w:hAnsi="Mangal Pro" w:cs="Mangal Pro"/>
          <w:b/>
          <w:bCs/>
          <w:sz w:val="22"/>
          <w:szCs w:val="22"/>
        </w:rPr>
      </w:pPr>
    </w:p>
    <w:p w14:paraId="25AB05E6" w14:textId="77777777" w:rsidR="00A0385D" w:rsidRDefault="00A0385D" w:rsidP="00B72D30">
      <w:pPr>
        <w:ind w:left="360"/>
        <w:rPr>
          <w:rFonts w:ascii="Mangal Pro" w:hAnsi="Mangal Pro" w:cs="Mangal Pro"/>
          <w:b/>
          <w:bCs/>
          <w:sz w:val="22"/>
          <w:szCs w:val="22"/>
        </w:rPr>
      </w:pPr>
    </w:p>
    <w:p w14:paraId="0F8FCDCB" w14:textId="77777777" w:rsidR="00A0385D" w:rsidRDefault="00A0385D" w:rsidP="00B72D30">
      <w:pPr>
        <w:ind w:left="360"/>
        <w:rPr>
          <w:rFonts w:ascii="Mangal Pro" w:hAnsi="Mangal Pro" w:cs="Mangal Pro"/>
          <w:b/>
          <w:bCs/>
          <w:sz w:val="22"/>
          <w:szCs w:val="22"/>
        </w:rPr>
      </w:pPr>
    </w:p>
    <w:p w14:paraId="3621AE4D" w14:textId="77777777" w:rsidR="00A0385D" w:rsidRDefault="00A0385D" w:rsidP="00B72D30">
      <w:pPr>
        <w:ind w:left="360"/>
        <w:rPr>
          <w:rFonts w:ascii="Mangal Pro" w:hAnsi="Mangal Pro" w:cs="Mangal Pro"/>
          <w:b/>
          <w:bCs/>
          <w:sz w:val="22"/>
          <w:szCs w:val="22"/>
        </w:rPr>
      </w:pPr>
    </w:p>
    <w:p w14:paraId="4148763E" w14:textId="77777777" w:rsidR="00A0385D" w:rsidRDefault="00A0385D" w:rsidP="00B72D30">
      <w:pPr>
        <w:ind w:left="360"/>
        <w:rPr>
          <w:rFonts w:ascii="Mangal Pro" w:hAnsi="Mangal Pro" w:cs="Mangal Pro"/>
          <w:b/>
          <w:bCs/>
          <w:sz w:val="22"/>
          <w:szCs w:val="22"/>
        </w:rPr>
      </w:pPr>
    </w:p>
    <w:p w14:paraId="08550661" w14:textId="77777777" w:rsidR="00A0385D" w:rsidRDefault="00A0385D" w:rsidP="00B72D30">
      <w:pPr>
        <w:ind w:left="360"/>
        <w:rPr>
          <w:rFonts w:ascii="Mangal Pro" w:hAnsi="Mangal Pro" w:cs="Mangal Pro"/>
          <w:b/>
          <w:bCs/>
          <w:sz w:val="22"/>
          <w:szCs w:val="22"/>
        </w:rPr>
      </w:pPr>
    </w:p>
    <w:p w14:paraId="4BE50078" w14:textId="77777777" w:rsidR="00A0385D" w:rsidRDefault="00A0385D" w:rsidP="00B72D30">
      <w:pPr>
        <w:ind w:left="360"/>
        <w:rPr>
          <w:rFonts w:ascii="Mangal Pro" w:hAnsi="Mangal Pro" w:cs="Mangal Pro"/>
          <w:b/>
          <w:bCs/>
          <w:sz w:val="22"/>
          <w:szCs w:val="22"/>
        </w:rPr>
      </w:pPr>
    </w:p>
    <w:p w14:paraId="2ED60ADA" w14:textId="77777777" w:rsidR="00A0385D" w:rsidRDefault="00A0385D" w:rsidP="00B72D30">
      <w:pPr>
        <w:ind w:left="360"/>
        <w:rPr>
          <w:rFonts w:ascii="Mangal Pro" w:hAnsi="Mangal Pro" w:cs="Mangal Pro"/>
          <w:b/>
          <w:bCs/>
          <w:sz w:val="22"/>
          <w:szCs w:val="22"/>
        </w:rPr>
      </w:pPr>
    </w:p>
    <w:p w14:paraId="7E972C7F" w14:textId="77777777" w:rsidR="00A0385D" w:rsidRDefault="00A0385D" w:rsidP="00B72D30">
      <w:pPr>
        <w:ind w:left="360"/>
        <w:rPr>
          <w:rFonts w:ascii="Mangal Pro" w:hAnsi="Mangal Pro" w:cs="Mangal Pro"/>
          <w:b/>
          <w:bCs/>
          <w:sz w:val="22"/>
          <w:szCs w:val="22"/>
        </w:rPr>
      </w:pPr>
    </w:p>
    <w:p w14:paraId="0BF1E5BB" w14:textId="77777777" w:rsidR="00A0385D" w:rsidRDefault="00A0385D" w:rsidP="00B72D30">
      <w:pPr>
        <w:ind w:left="360"/>
        <w:rPr>
          <w:rFonts w:ascii="Mangal Pro" w:hAnsi="Mangal Pro" w:cs="Mangal Pro"/>
          <w:b/>
          <w:bCs/>
          <w:sz w:val="22"/>
          <w:szCs w:val="22"/>
        </w:rPr>
      </w:pPr>
    </w:p>
    <w:p w14:paraId="732E62A0" w14:textId="00F339CC" w:rsidR="008410D0" w:rsidRPr="00A0385D" w:rsidRDefault="008410D0" w:rsidP="00B72D30">
      <w:pPr>
        <w:ind w:left="360"/>
        <w:rPr>
          <w:rFonts w:ascii="Mangal Pro" w:hAnsi="Mangal Pro" w:cs="Mangal Pro"/>
          <w:b/>
          <w:bCs/>
          <w:sz w:val="36"/>
          <w:szCs w:val="36"/>
        </w:rPr>
      </w:pPr>
      <w:r w:rsidRPr="00A0385D">
        <w:rPr>
          <w:rFonts w:ascii="Mangal Pro" w:hAnsi="Mangal Pro" w:cs="Mangal Pro"/>
          <w:b/>
          <w:bCs/>
          <w:sz w:val="36"/>
          <w:szCs w:val="36"/>
        </w:rPr>
        <w:lastRenderedPageBreak/>
        <w:t>Section 12: Student Education Plans</w:t>
      </w:r>
    </w:p>
    <w:tbl>
      <w:tblPr>
        <w:tblStyle w:val="TableGrid"/>
        <w:tblW w:w="10980" w:type="dxa"/>
        <w:tblInd w:w="-995" w:type="dxa"/>
        <w:tblLook w:val="04A0" w:firstRow="1" w:lastRow="0" w:firstColumn="1" w:lastColumn="0" w:noHBand="0" w:noVBand="1"/>
      </w:tblPr>
      <w:tblGrid>
        <w:gridCol w:w="1980"/>
        <w:gridCol w:w="1440"/>
        <w:gridCol w:w="1800"/>
        <w:gridCol w:w="2122"/>
        <w:gridCol w:w="1537"/>
        <w:gridCol w:w="2101"/>
      </w:tblGrid>
      <w:tr w:rsidR="00286497" w14:paraId="646C1EC2" w14:textId="77777777" w:rsidTr="003644E3">
        <w:tc>
          <w:tcPr>
            <w:tcW w:w="10980" w:type="dxa"/>
            <w:gridSpan w:val="6"/>
          </w:tcPr>
          <w:p w14:paraId="641067D4" w14:textId="1AF2A9D8" w:rsidR="00286497" w:rsidRDefault="003644E3" w:rsidP="00B72D30">
            <w:pPr>
              <w:rPr>
                <w:rFonts w:ascii="Mangal Pro" w:hAnsi="Mangal Pro" w:cs="Mangal Pro"/>
                <w:b/>
                <w:bCs/>
                <w:sz w:val="22"/>
                <w:szCs w:val="22"/>
              </w:rPr>
            </w:pPr>
            <w:r>
              <w:rPr>
                <w:rFonts w:ascii="Mangal Pro" w:hAnsi="Mangal Pro" w:cs="Mangal Pro"/>
                <w:b/>
                <w:bCs/>
                <w:sz w:val="22"/>
                <w:szCs w:val="22"/>
              </w:rPr>
              <w:t>Comprehensive Student Education Plans</w:t>
            </w:r>
          </w:p>
        </w:tc>
      </w:tr>
      <w:tr w:rsidR="003644E3" w14:paraId="4961BE86" w14:textId="77777777" w:rsidTr="003644E3">
        <w:tc>
          <w:tcPr>
            <w:tcW w:w="1980" w:type="dxa"/>
          </w:tcPr>
          <w:p w14:paraId="29E1673D" w14:textId="21734C2A" w:rsidR="003644E3" w:rsidRPr="003644E3" w:rsidRDefault="003644E3" w:rsidP="00B72D30">
            <w:pPr>
              <w:rPr>
                <w:rFonts w:ascii="Mangal Pro" w:hAnsi="Mangal Pro" w:cs="Mangal Pro"/>
                <w:b/>
                <w:bCs/>
                <w:sz w:val="18"/>
                <w:szCs w:val="18"/>
              </w:rPr>
            </w:pPr>
            <w:r w:rsidRPr="003644E3">
              <w:rPr>
                <w:rFonts w:ascii="Mangal Pro" w:hAnsi="Mangal Pro" w:cs="Mangal Pro"/>
                <w:b/>
                <w:bCs/>
                <w:sz w:val="18"/>
                <w:szCs w:val="18"/>
              </w:rPr>
              <w:t>Academic Year cohort (include summer and winter if applicable</w:t>
            </w:r>
          </w:p>
        </w:tc>
        <w:tc>
          <w:tcPr>
            <w:tcW w:w="1440" w:type="dxa"/>
          </w:tcPr>
          <w:p w14:paraId="47426494" w14:textId="7BDD5391" w:rsidR="003644E3" w:rsidRPr="003644E3" w:rsidRDefault="003644E3" w:rsidP="00B72D30">
            <w:pPr>
              <w:rPr>
                <w:rFonts w:ascii="Mangal Pro" w:hAnsi="Mangal Pro" w:cs="Mangal Pro"/>
                <w:b/>
                <w:bCs/>
                <w:sz w:val="18"/>
                <w:szCs w:val="18"/>
              </w:rPr>
            </w:pPr>
            <w:r w:rsidRPr="003644E3">
              <w:rPr>
                <w:rFonts w:ascii="Mangal Pro" w:hAnsi="Mangal Pro" w:cs="Mangal Pro"/>
                <w:b/>
                <w:bCs/>
                <w:sz w:val="18"/>
                <w:szCs w:val="18"/>
              </w:rPr>
              <w:t>Total number of Enrolled Students in Cohort</w:t>
            </w:r>
          </w:p>
        </w:tc>
        <w:tc>
          <w:tcPr>
            <w:tcW w:w="1800" w:type="dxa"/>
          </w:tcPr>
          <w:p w14:paraId="59195E4D" w14:textId="28C60D9F" w:rsidR="003644E3" w:rsidRPr="003644E3" w:rsidRDefault="003644E3" w:rsidP="00B72D30">
            <w:pPr>
              <w:rPr>
                <w:rFonts w:ascii="Mangal Pro" w:hAnsi="Mangal Pro" w:cs="Mangal Pro"/>
                <w:b/>
                <w:bCs/>
                <w:sz w:val="18"/>
                <w:szCs w:val="18"/>
              </w:rPr>
            </w:pPr>
            <w:r>
              <w:rPr>
                <w:rFonts w:ascii="Mangal Pro" w:hAnsi="Mangal Pro" w:cs="Mangal Pro"/>
                <w:b/>
                <w:bCs/>
                <w:sz w:val="18"/>
                <w:szCs w:val="18"/>
              </w:rPr>
              <w:t># of students who received a comprehensive Ed plan by end of 1</w:t>
            </w:r>
            <w:r w:rsidRPr="003644E3">
              <w:rPr>
                <w:rFonts w:ascii="Mangal Pro" w:hAnsi="Mangal Pro" w:cs="Mangal Pro"/>
                <w:b/>
                <w:bCs/>
                <w:sz w:val="18"/>
                <w:szCs w:val="18"/>
                <w:vertAlign w:val="superscript"/>
              </w:rPr>
              <w:t>st</w:t>
            </w:r>
            <w:r>
              <w:rPr>
                <w:rFonts w:ascii="Mangal Pro" w:hAnsi="Mangal Pro" w:cs="Mangal Pro"/>
                <w:b/>
                <w:bCs/>
                <w:sz w:val="18"/>
                <w:szCs w:val="18"/>
              </w:rPr>
              <w:t xml:space="preserve"> Primary Term</w:t>
            </w:r>
          </w:p>
        </w:tc>
        <w:tc>
          <w:tcPr>
            <w:tcW w:w="2122" w:type="dxa"/>
          </w:tcPr>
          <w:p w14:paraId="3D439653" w14:textId="25E3744F" w:rsidR="003644E3" w:rsidRPr="003644E3" w:rsidRDefault="003644E3" w:rsidP="00B72D30">
            <w:pPr>
              <w:rPr>
                <w:rFonts w:ascii="Mangal Pro" w:hAnsi="Mangal Pro" w:cs="Mangal Pro"/>
                <w:b/>
                <w:bCs/>
                <w:sz w:val="18"/>
                <w:szCs w:val="18"/>
              </w:rPr>
            </w:pPr>
            <w:r>
              <w:rPr>
                <w:rFonts w:ascii="Mangal Pro" w:hAnsi="Mangal Pro" w:cs="Mangal Pro"/>
                <w:b/>
                <w:bCs/>
                <w:sz w:val="18"/>
                <w:szCs w:val="18"/>
              </w:rPr>
              <w:t>% of students (out of the total number of students enrolled in cohort) who received a comprehensive ed plan by end of first primary term</w:t>
            </w:r>
          </w:p>
        </w:tc>
        <w:tc>
          <w:tcPr>
            <w:tcW w:w="1537" w:type="dxa"/>
          </w:tcPr>
          <w:p w14:paraId="64EACCA3" w14:textId="56CCF11C" w:rsidR="003644E3" w:rsidRPr="003644E3" w:rsidRDefault="003644E3" w:rsidP="00B72D30">
            <w:pPr>
              <w:rPr>
                <w:rFonts w:ascii="Mangal Pro" w:hAnsi="Mangal Pro" w:cs="Mangal Pro"/>
                <w:b/>
                <w:bCs/>
                <w:sz w:val="18"/>
                <w:szCs w:val="18"/>
              </w:rPr>
            </w:pPr>
            <w:r>
              <w:rPr>
                <w:rFonts w:ascii="Mangal Pro" w:hAnsi="Mangal Pro" w:cs="Mangal Pro"/>
                <w:b/>
                <w:bCs/>
                <w:sz w:val="18"/>
                <w:szCs w:val="18"/>
              </w:rPr>
              <w:t># of students who received a comprehensive ed plan by end of first academic year</w:t>
            </w:r>
          </w:p>
        </w:tc>
        <w:tc>
          <w:tcPr>
            <w:tcW w:w="2101" w:type="dxa"/>
          </w:tcPr>
          <w:p w14:paraId="1EB964EE" w14:textId="240A7872" w:rsidR="003644E3" w:rsidRPr="003644E3" w:rsidRDefault="003644E3" w:rsidP="00B72D30">
            <w:pPr>
              <w:rPr>
                <w:rFonts w:ascii="Mangal Pro" w:hAnsi="Mangal Pro" w:cs="Mangal Pro"/>
                <w:b/>
                <w:bCs/>
                <w:sz w:val="18"/>
                <w:szCs w:val="18"/>
              </w:rPr>
            </w:pPr>
            <w:r>
              <w:rPr>
                <w:rFonts w:ascii="Mangal Pro" w:hAnsi="Mangal Pro" w:cs="Mangal Pro"/>
                <w:b/>
                <w:bCs/>
                <w:sz w:val="18"/>
                <w:szCs w:val="18"/>
              </w:rPr>
              <w:t>% of students (out of the total number of students enrolled in cohort) who received a comprehensive by end of first academic year</w:t>
            </w:r>
          </w:p>
        </w:tc>
      </w:tr>
      <w:tr w:rsidR="003644E3" w14:paraId="2F265140" w14:textId="77777777" w:rsidTr="003644E3">
        <w:tc>
          <w:tcPr>
            <w:tcW w:w="1980" w:type="dxa"/>
          </w:tcPr>
          <w:p w14:paraId="45D70022" w14:textId="690B69B7" w:rsidR="003644E3" w:rsidRDefault="003644E3" w:rsidP="00B72D30">
            <w:pPr>
              <w:rPr>
                <w:rFonts w:ascii="Mangal Pro" w:hAnsi="Mangal Pro" w:cs="Mangal Pro"/>
                <w:b/>
                <w:bCs/>
                <w:sz w:val="22"/>
                <w:szCs w:val="22"/>
              </w:rPr>
            </w:pPr>
            <w:r>
              <w:rPr>
                <w:rFonts w:ascii="Mangal Pro" w:hAnsi="Mangal Pro" w:cs="Mangal Pro"/>
                <w:b/>
                <w:bCs/>
                <w:sz w:val="22"/>
                <w:szCs w:val="22"/>
              </w:rPr>
              <w:t>Fall 2022 Cohort (comprehensive ed plan by 6/30/2023)</w:t>
            </w:r>
          </w:p>
        </w:tc>
        <w:tc>
          <w:tcPr>
            <w:tcW w:w="1440" w:type="dxa"/>
          </w:tcPr>
          <w:p w14:paraId="642CEFF1" w14:textId="77777777" w:rsidR="003644E3" w:rsidRDefault="003644E3" w:rsidP="00B72D30">
            <w:pPr>
              <w:rPr>
                <w:rFonts w:ascii="Mangal Pro" w:hAnsi="Mangal Pro" w:cs="Mangal Pro"/>
                <w:b/>
                <w:bCs/>
                <w:sz w:val="22"/>
                <w:szCs w:val="22"/>
              </w:rPr>
            </w:pPr>
          </w:p>
        </w:tc>
        <w:tc>
          <w:tcPr>
            <w:tcW w:w="1800" w:type="dxa"/>
          </w:tcPr>
          <w:p w14:paraId="2AFDD75B" w14:textId="77777777" w:rsidR="003644E3" w:rsidRDefault="003644E3" w:rsidP="00B72D30">
            <w:pPr>
              <w:rPr>
                <w:rFonts w:ascii="Mangal Pro" w:hAnsi="Mangal Pro" w:cs="Mangal Pro"/>
                <w:b/>
                <w:bCs/>
                <w:sz w:val="22"/>
                <w:szCs w:val="22"/>
              </w:rPr>
            </w:pPr>
          </w:p>
        </w:tc>
        <w:tc>
          <w:tcPr>
            <w:tcW w:w="2122" w:type="dxa"/>
          </w:tcPr>
          <w:p w14:paraId="673B79A0" w14:textId="77777777" w:rsidR="003644E3" w:rsidRDefault="003644E3" w:rsidP="00B72D30">
            <w:pPr>
              <w:rPr>
                <w:rFonts w:ascii="Mangal Pro" w:hAnsi="Mangal Pro" w:cs="Mangal Pro"/>
                <w:b/>
                <w:bCs/>
                <w:sz w:val="22"/>
                <w:szCs w:val="22"/>
              </w:rPr>
            </w:pPr>
          </w:p>
        </w:tc>
        <w:tc>
          <w:tcPr>
            <w:tcW w:w="1537" w:type="dxa"/>
          </w:tcPr>
          <w:p w14:paraId="6FB5D879" w14:textId="77777777" w:rsidR="003644E3" w:rsidRDefault="003644E3" w:rsidP="00B72D30">
            <w:pPr>
              <w:rPr>
                <w:rFonts w:ascii="Mangal Pro" w:hAnsi="Mangal Pro" w:cs="Mangal Pro"/>
                <w:b/>
                <w:bCs/>
                <w:sz w:val="22"/>
                <w:szCs w:val="22"/>
              </w:rPr>
            </w:pPr>
          </w:p>
        </w:tc>
        <w:tc>
          <w:tcPr>
            <w:tcW w:w="2101" w:type="dxa"/>
          </w:tcPr>
          <w:p w14:paraId="2E3E82A2" w14:textId="77777777" w:rsidR="003644E3" w:rsidRDefault="003644E3" w:rsidP="00B72D30">
            <w:pPr>
              <w:rPr>
                <w:rFonts w:ascii="Mangal Pro" w:hAnsi="Mangal Pro" w:cs="Mangal Pro"/>
                <w:b/>
                <w:bCs/>
                <w:sz w:val="22"/>
                <w:szCs w:val="22"/>
              </w:rPr>
            </w:pPr>
          </w:p>
        </w:tc>
      </w:tr>
      <w:tr w:rsidR="003644E3" w14:paraId="547BF7FB" w14:textId="77777777" w:rsidTr="003644E3">
        <w:tc>
          <w:tcPr>
            <w:tcW w:w="1980" w:type="dxa"/>
          </w:tcPr>
          <w:p w14:paraId="6C07DA44" w14:textId="5AC46E4B" w:rsidR="003644E3" w:rsidRDefault="003644E3" w:rsidP="00B72D30">
            <w:pPr>
              <w:rPr>
                <w:rFonts w:ascii="Mangal Pro" w:hAnsi="Mangal Pro" w:cs="Mangal Pro"/>
                <w:b/>
                <w:bCs/>
                <w:sz w:val="22"/>
                <w:szCs w:val="22"/>
              </w:rPr>
            </w:pPr>
            <w:r>
              <w:rPr>
                <w:rFonts w:ascii="Mangal Pro" w:hAnsi="Mangal Pro" w:cs="Mangal Pro"/>
                <w:b/>
                <w:bCs/>
                <w:sz w:val="22"/>
                <w:szCs w:val="22"/>
              </w:rPr>
              <w:t>Spring 2023 cohort (comprehensive ed plan)</w:t>
            </w:r>
          </w:p>
        </w:tc>
        <w:tc>
          <w:tcPr>
            <w:tcW w:w="1440" w:type="dxa"/>
          </w:tcPr>
          <w:p w14:paraId="044D50A0" w14:textId="77777777" w:rsidR="003644E3" w:rsidRDefault="003644E3" w:rsidP="00B72D30">
            <w:pPr>
              <w:rPr>
                <w:rFonts w:ascii="Mangal Pro" w:hAnsi="Mangal Pro" w:cs="Mangal Pro"/>
                <w:b/>
                <w:bCs/>
                <w:sz w:val="22"/>
                <w:szCs w:val="22"/>
              </w:rPr>
            </w:pPr>
          </w:p>
        </w:tc>
        <w:tc>
          <w:tcPr>
            <w:tcW w:w="1800" w:type="dxa"/>
          </w:tcPr>
          <w:p w14:paraId="251ACF96" w14:textId="77777777" w:rsidR="003644E3" w:rsidRDefault="003644E3" w:rsidP="00B72D30">
            <w:pPr>
              <w:rPr>
                <w:rFonts w:ascii="Mangal Pro" w:hAnsi="Mangal Pro" w:cs="Mangal Pro"/>
                <w:b/>
                <w:bCs/>
                <w:sz w:val="22"/>
                <w:szCs w:val="22"/>
              </w:rPr>
            </w:pPr>
          </w:p>
        </w:tc>
        <w:tc>
          <w:tcPr>
            <w:tcW w:w="2122" w:type="dxa"/>
          </w:tcPr>
          <w:p w14:paraId="109A6F95" w14:textId="77777777" w:rsidR="003644E3" w:rsidRDefault="003644E3" w:rsidP="00B72D30">
            <w:pPr>
              <w:rPr>
                <w:rFonts w:ascii="Mangal Pro" w:hAnsi="Mangal Pro" w:cs="Mangal Pro"/>
                <w:b/>
                <w:bCs/>
                <w:sz w:val="22"/>
                <w:szCs w:val="22"/>
              </w:rPr>
            </w:pPr>
          </w:p>
        </w:tc>
        <w:tc>
          <w:tcPr>
            <w:tcW w:w="1537" w:type="dxa"/>
          </w:tcPr>
          <w:p w14:paraId="0FB7628D" w14:textId="77777777" w:rsidR="003644E3" w:rsidRDefault="003644E3" w:rsidP="00B72D30">
            <w:pPr>
              <w:rPr>
                <w:rFonts w:ascii="Mangal Pro" w:hAnsi="Mangal Pro" w:cs="Mangal Pro"/>
                <w:b/>
                <w:bCs/>
                <w:sz w:val="22"/>
                <w:szCs w:val="22"/>
              </w:rPr>
            </w:pPr>
          </w:p>
        </w:tc>
        <w:tc>
          <w:tcPr>
            <w:tcW w:w="2101" w:type="dxa"/>
          </w:tcPr>
          <w:p w14:paraId="094C7047" w14:textId="77777777" w:rsidR="003644E3" w:rsidRDefault="003644E3" w:rsidP="00B72D30">
            <w:pPr>
              <w:rPr>
                <w:rFonts w:ascii="Mangal Pro" w:hAnsi="Mangal Pro" w:cs="Mangal Pro"/>
                <w:b/>
                <w:bCs/>
                <w:sz w:val="22"/>
                <w:szCs w:val="22"/>
              </w:rPr>
            </w:pPr>
          </w:p>
        </w:tc>
      </w:tr>
      <w:tr w:rsidR="003644E3" w14:paraId="5BA3AECB" w14:textId="77777777" w:rsidTr="003644E3">
        <w:tc>
          <w:tcPr>
            <w:tcW w:w="1980" w:type="dxa"/>
          </w:tcPr>
          <w:p w14:paraId="32E54E1F" w14:textId="3A8D72B3" w:rsidR="003644E3" w:rsidRDefault="003644E3" w:rsidP="00B72D30">
            <w:pPr>
              <w:rPr>
                <w:rFonts w:ascii="Mangal Pro" w:hAnsi="Mangal Pro" w:cs="Mangal Pro"/>
                <w:b/>
                <w:bCs/>
                <w:sz w:val="22"/>
                <w:szCs w:val="22"/>
              </w:rPr>
            </w:pPr>
            <w:r>
              <w:rPr>
                <w:rFonts w:ascii="Mangal Pro" w:hAnsi="Mangal Pro" w:cs="Mangal Pro"/>
                <w:b/>
                <w:bCs/>
                <w:sz w:val="22"/>
                <w:szCs w:val="22"/>
              </w:rPr>
              <w:t>Fall 2023 cohort (comprehensive ed plan by 6/30/2024)</w:t>
            </w:r>
          </w:p>
        </w:tc>
        <w:tc>
          <w:tcPr>
            <w:tcW w:w="1440" w:type="dxa"/>
          </w:tcPr>
          <w:p w14:paraId="21F2D15B" w14:textId="77777777" w:rsidR="003644E3" w:rsidRDefault="003644E3" w:rsidP="00B72D30">
            <w:pPr>
              <w:rPr>
                <w:rFonts w:ascii="Mangal Pro" w:hAnsi="Mangal Pro" w:cs="Mangal Pro"/>
                <w:b/>
                <w:bCs/>
                <w:sz w:val="22"/>
                <w:szCs w:val="22"/>
              </w:rPr>
            </w:pPr>
          </w:p>
        </w:tc>
        <w:tc>
          <w:tcPr>
            <w:tcW w:w="1800" w:type="dxa"/>
          </w:tcPr>
          <w:p w14:paraId="7B565E95" w14:textId="77777777" w:rsidR="003644E3" w:rsidRDefault="003644E3" w:rsidP="00B72D30">
            <w:pPr>
              <w:rPr>
                <w:rFonts w:ascii="Mangal Pro" w:hAnsi="Mangal Pro" w:cs="Mangal Pro"/>
                <w:b/>
                <w:bCs/>
                <w:sz w:val="22"/>
                <w:szCs w:val="22"/>
              </w:rPr>
            </w:pPr>
          </w:p>
        </w:tc>
        <w:tc>
          <w:tcPr>
            <w:tcW w:w="2122" w:type="dxa"/>
          </w:tcPr>
          <w:p w14:paraId="3B7761C1" w14:textId="77777777" w:rsidR="003644E3" w:rsidRDefault="003644E3" w:rsidP="00B72D30">
            <w:pPr>
              <w:rPr>
                <w:rFonts w:ascii="Mangal Pro" w:hAnsi="Mangal Pro" w:cs="Mangal Pro"/>
                <w:b/>
                <w:bCs/>
                <w:sz w:val="22"/>
                <w:szCs w:val="22"/>
              </w:rPr>
            </w:pPr>
          </w:p>
        </w:tc>
        <w:tc>
          <w:tcPr>
            <w:tcW w:w="1537" w:type="dxa"/>
          </w:tcPr>
          <w:p w14:paraId="6DEE0B0B" w14:textId="77777777" w:rsidR="003644E3" w:rsidRDefault="003644E3" w:rsidP="00B72D30">
            <w:pPr>
              <w:rPr>
                <w:rFonts w:ascii="Mangal Pro" w:hAnsi="Mangal Pro" w:cs="Mangal Pro"/>
                <w:b/>
                <w:bCs/>
                <w:sz w:val="22"/>
                <w:szCs w:val="22"/>
              </w:rPr>
            </w:pPr>
          </w:p>
        </w:tc>
        <w:tc>
          <w:tcPr>
            <w:tcW w:w="2101" w:type="dxa"/>
          </w:tcPr>
          <w:p w14:paraId="602A8E58" w14:textId="77777777" w:rsidR="003644E3" w:rsidRDefault="003644E3" w:rsidP="00B72D30">
            <w:pPr>
              <w:rPr>
                <w:rFonts w:ascii="Mangal Pro" w:hAnsi="Mangal Pro" w:cs="Mangal Pro"/>
                <w:b/>
                <w:bCs/>
                <w:sz w:val="22"/>
                <w:szCs w:val="22"/>
              </w:rPr>
            </w:pPr>
          </w:p>
        </w:tc>
      </w:tr>
      <w:tr w:rsidR="003644E3" w14:paraId="7DB2ACE5" w14:textId="77777777" w:rsidTr="003644E3">
        <w:tc>
          <w:tcPr>
            <w:tcW w:w="1980" w:type="dxa"/>
          </w:tcPr>
          <w:p w14:paraId="31758002" w14:textId="177DE562" w:rsidR="003644E3" w:rsidRDefault="003644E3" w:rsidP="00B72D30">
            <w:pPr>
              <w:rPr>
                <w:rFonts w:ascii="Mangal Pro" w:hAnsi="Mangal Pro" w:cs="Mangal Pro"/>
                <w:b/>
                <w:bCs/>
                <w:sz w:val="22"/>
                <w:szCs w:val="22"/>
              </w:rPr>
            </w:pPr>
            <w:r>
              <w:rPr>
                <w:rFonts w:ascii="Mangal Pro" w:hAnsi="Mangal Pro" w:cs="Mangal Pro"/>
                <w:b/>
                <w:bCs/>
                <w:sz w:val="22"/>
                <w:szCs w:val="22"/>
              </w:rPr>
              <w:t>Spring 2024 cohort (comprehensive ed plan by 12/30/2024)</w:t>
            </w:r>
          </w:p>
        </w:tc>
        <w:tc>
          <w:tcPr>
            <w:tcW w:w="1440" w:type="dxa"/>
          </w:tcPr>
          <w:p w14:paraId="03BC938A" w14:textId="77777777" w:rsidR="003644E3" w:rsidRDefault="003644E3" w:rsidP="00B72D30">
            <w:pPr>
              <w:rPr>
                <w:rFonts w:ascii="Mangal Pro" w:hAnsi="Mangal Pro" w:cs="Mangal Pro"/>
                <w:b/>
                <w:bCs/>
                <w:sz w:val="22"/>
                <w:szCs w:val="22"/>
              </w:rPr>
            </w:pPr>
          </w:p>
        </w:tc>
        <w:tc>
          <w:tcPr>
            <w:tcW w:w="1800" w:type="dxa"/>
          </w:tcPr>
          <w:p w14:paraId="7474BB32" w14:textId="77777777" w:rsidR="003644E3" w:rsidRDefault="003644E3" w:rsidP="00B72D30">
            <w:pPr>
              <w:rPr>
                <w:rFonts w:ascii="Mangal Pro" w:hAnsi="Mangal Pro" w:cs="Mangal Pro"/>
                <w:b/>
                <w:bCs/>
                <w:sz w:val="22"/>
                <w:szCs w:val="22"/>
              </w:rPr>
            </w:pPr>
          </w:p>
        </w:tc>
        <w:tc>
          <w:tcPr>
            <w:tcW w:w="2122" w:type="dxa"/>
          </w:tcPr>
          <w:p w14:paraId="3D3E517E" w14:textId="77777777" w:rsidR="003644E3" w:rsidRDefault="003644E3" w:rsidP="00B72D30">
            <w:pPr>
              <w:rPr>
                <w:rFonts w:ascii="Mangal Pro" w:hAnsi="Mangal Pro" w:cs="Mangal Pro"/>
                <w:b/>
                <w:bCs/>
                <w:sz w:val="22"/>
                <w:szCs w:val="22"/>
              </w:rPr>
            </w:pPr>
          </w:p>
        </w:tc>
        <w:tc>
          <w:tcPr>
            <w:tcW w:w="1537" w:type="dxa"/>
          </w:tcPr>
          <w:p w14:paraId="1AC93102" w14:textId="77777777" w:rsidR="003644E3" w:rsidRDefault="003644E3" w:rsidP="00B72D30">
            <w:pPr>
              <w:rPr>
                <w:rFonts w:ascii="Mangal Pro" w:hAnsi="Mangal Pro" w:cs="Mangal Pro"/>
                <w:b/>
                <w:bCs/>
                <w:sz w:val="22"/>
                <w:szCs w:val="22"/>
              </w:rPr>
            </w:pPr>
          </w:p>
        </w:tc>
        <w:tc>
          <w:tcPr>
            <w:tcW w:w="2101" w:type="dxa"/>
          </w:tcPr>
          <w:p w14:paraId="3369D239" w14:textId="77777777" w:rsidR="003644E3" w:rsidRDefault="003644E3" w:rsidP="00B72D30">
            <w:pPr>
              <w:rPr>
                <w:rFonts w:ascii="Mangal Pro" w:hAnsi="Mangal Pro" w:cs="Mangal Pro"/>
                <w:b/>
                <w:bCs/>
                <w:sz w:val="22"/>
                <w:szCs w:val="22"/>
              </w:rPr>
            </w:pPr>
          </w:p>
        </w:tc>
      </w:tr>
      <w:bookmarkEnd w:id="0"/>
    </w:tbl>
    <w:p w14:paraId="68F428CD" w14:textId="77777777" w:rsidR="001A79BE" w:rsidRDefault="001A79BE" w:rsidP="00B72D30">
      <w:pPr>
        <w:ind w:left="360"/>
        <w:rPr>
          <w:rFonts w:ascii="Mangal Pro" w:hAnsi="Mangal Pro" w:cs="Mangal Pro"/>
          <w:b/>
          <w:bCs/>
          <w:sz w:val="22"/>
          <w:szCs w:val="22"/>
        </w:rPr>
      </w:pPr>
    </w:p>
    <w:p w14:paraId="2064FEDE" w14:textId="77777777" w:rsidR="00806FA6" w:rsidRDefault="00806FA6" w:rsidP="001A79BE">
      <w:pPr>
        <w:ind w:left="360"/>
        <w:jc w:val="both"/>
        <w:rPr>
          <w:rFonts w:ascii="Mangal Pro" w:hAnsi="Mangal Pro" w:cs="Mangal Pro"/>
          <w:b/>
          <w:bCs/>
          <w:sz w:val="22"/>
          <w:szCs w:val="22"/>
        </w:rPr>
      </w:pPr>
    </w:p>
    <w:p w14:paraId="4F157B68" w14:textId="77777777" w:rsidR="00806FA6" w:rsidRDefault="00806FA6" w:rsidP="001A79BE">
      <w:pPr>
        <w:ind w:left="360"/>
        <w:jc w:val="both"/>
        <w:rPr>
          <w:rFonts w:ascii="Mangal Pro" w:hAnsi="Mangal Pro" w:cs="Mangal Pro"/>
          <w:b/>
          <w:bCs/>
          <w:sz w:val="22"/>
          <w:szCs w:val="22"/>
        </w:rPr>
      </w:pPr>
    </w:p>
    <w:p w14:paraId="62B7BC9F" w14:textId="77777777" w:rsidR="00843CBB" w:rsidRDefault="00843CBB" w:rsidP="001A79BE">
      <w:pPr>
        <w:ind w:left="360"/>
        <w:jc w:val="both"/>
        <w:rPr>
          <w:rFonts w:ascii="Mangal Pro" w:hAnsi="Mangal Pro" w:cs="Mangal Pro"/>
          <w:b/>
          <w:bCs/>
          <w:sz w:val="22"/>
          <w:szCs w:val="22"/>
        </w:rPr>
      </w:pPr>
    </w:p>
    <w:p w14:paraId="542483AF" w14:textId="77777777" w:rsidR="002E40A6" w:rsidRDefault="008410D0" w:rsidP="002E40A6">
      <w:pPr>
        <w:ind w:left="360"/>
        <w:jc w:val="both"/>
        <w:rPr>
          <w:rFonts w:ascii="Mangal Pro" w:hAnsi="Mangal Pro" w:cs="Mangal Pro"/>
          <w:b/>
          <w:bCs/>
          <w:sz w:val="36"/>
          <w:szCs w:val="36"/>
        </w:rPr>
      </w:pPr>
      <w:r w:rsidRPr="00806FA6">
        <w:rPr>
          <w:rFonts w:ascii="Mangal Pro" w:hAnsi="Mangal Pro" w:cs="Mangal Pro"/>
          <w:b/>
          <w:bCs/>
          <w:sz w:val="36"/>
          <w:szCs w:val="36"/>
        </w:rPr>
        <w:lastRenderedPageBreak/>
        <w:t xml:space="preserve">Section 13: </w:t>
      </w:r>
      <w:r w:rsidR="00B72D30" w:rsidRPr="00806FA6">
        <w:rPr>
          <w:rFonts w:ascii="Mangal Pro" w:hAnsi="Mangal Pro" w:cs="Mangal Pro"/>
          <w:b/>
          <w:bCs/>
          <w:sz w:val="36"/>
          <w:szCs w:val="36"/>
        </w:rPr>
        <w:t xml:space="preserve">SBVC Vision 2030 Alignment: </w:t>
      </w:r>
    </w:p>
    <w:p w14:paraId="0B2E6BE5" w14:textId="79E3CA6A" w:rsidR="002E40A6" w:rsidRPr="00DA19E4" w:rsidRDefault="00DA19E4" w:rsidP="00DA19E4">
      <w:pPr>
        <w:pStyle w:val="ListParagraph"/>
        <w:numPr>
          <w:ilvl w:val="1"/>
          <w:numId w:val="3"/>
        </w:numPr>
        <w:jc w:val="both"/>
        <w:rPr>
          <w:rFonts w:ascii="Mangal Pro" w:hAnsi="Mangal Pro" w:cs="Mangal Pro"/>
          <w:b/>
          <w:bCs/>
          <w:sz w:val="22"/>
          <w:szCs w:val="22"/>
        </w:rPr>
      </w:pPr>
      <w:r>
        <w:rPr>
          <w:rFonts w:ascii="Mangal Pro" w:hAnsi="Mangal Pro" w:cs="Mangal Pro"/>
          <w:b/>
          <w:bCs/>
          <w:sz w:val="22"/>
          <w:szCs w:val="22"/>
        </w:rPr>
        <w:t>Guided Pathways and Equity Centered Strategies</w:t>
      </w:r>
    </w:p>
    <w:p w14:paraId="723A4FCF" w14:textId="3B1262DB" w:rsidR="00B72D30" w:rsidRDefault="00B72D30" w:rsidP="00804381">
      <w:pPr>
        <w:spacing w:line="240" w:lineRule="auto"/>
        <w:ind w:left="360"/>
        <w:rPr>
          <w:rFonts w:ascii="Mangal Pro" w:hAnsi="Mangal Pro" w:cs="Mangal Pro"/>
          <w:sz w:val="22"/>
          <w:szCs w:val="22"/>
        </w:rPr>
      </w:pPr>
      <w:r>
        <w:rPr>
          <w:rFonts w:ascii="Mangal Pro" w:hAnsi="Mangal Pro" w:cs="Mangal Pro"/>
          <w:sz w:val="22"/>
          <w:szCs w:val="22"/>
        </w:rPr>
        <w:t xml:space="preserve">San Bernardino Valley College is committed to centering the student experience through the Guided Pathways framework, ensuring that </w:t>
      </w:r>
      <w:r w:rsidR="00D8097D">
        <w:rPr>
          <w:rFonts w:ascii="Mangal Pro" w:hAnsi="Mangal Pro" w:cs="Mangal Pro"/>
          <w:sz w:val="22"/>
          <w:szCs w:val="22"/>
        </w:rPr>
        <w:t>equity-driven</w:t>
      </w:r>
      <w:r>
        <w:rPr>
          <w:rFonts w:ascii="Mangal Pro" w:hAnsi="Mangal Pro" w:cs="Mangal Pro"/>
          <w:sz w:val="22"/>
          <w:szCs w:val="22"/>
        </w:rPr>
        <w:t xml:space="preserve"> practices are embedded in all aspects of student support, academic programs, and institutional </w:t>
      </w:r>
      <w:r w:rsidR="00D8097D">
        <w:rPr>
          <w:rFonts w:ascii="Mangal Pro" w:hAnsi="Mangal Pro" w:cs="Mangal Pro"/>
          <w:sz w:val="22"/>
          <w:szCs w:val="22"/>
        </w:rPr>
        <w:t>decision-making</w:t>
      </w:r>
      <w:r>
        <w:rPr>
          <w:rFonts w:ascii="Mangal Pro" w:hAnsi="Mangal Pro" w:cs="Mangal Pro"/>
          <w:sz w:val="22"/>
          <w:szCs w:val="22"/>
        </w:rPr>
        <w:t xml:space="preserve">. Some key strategies, but not limited </w:t>
      </w:r>
      <w:r w:rsidR="00D8097D">
        <w:rPr>
          <w:rFonts w:ascii="Mangal Pro" w:hAnsi="Mangal Pro" w:cs="Mangal Pro"/>
          <w:sz w:val="22"/>
          <w:szCs w:val="22"/>
        </w:rPr>
        <w:t>to</w:t>
      </w:r>
      <w:r>
        <w:rPr>
          <w:rFonts w:ascii="Mangal Pro" w:hAnsi="Mangal Pro" w:cs="Mangal Pro"/>
          <w:sz w:val="22"/>
          <w:szCs w:val="22"/>
        </w:rPr>
        <w:t>:</w:t>
      </w:r>
    </w:p>
    <w:p w14:paraId="6EE595DA" w14:textId="7A704C05" w:rsidR="00B72D30" w:rsidRDefault="00B72D30" w:rsidP="00804381">
      <w:pPr>
        <w:pStyle w:val="ListParagraph"/>
        <w:numPr>
          <w:ilvl w:val="0"/>
          <w:numId w:val="12"/>
        </w:numPr>
        <w:spacing w:line="240" w:lineRule="auto"/>
        <w:rPr>
          <w:rFonts w:ascii="Mangal Pro" w:hAnsi="Mangal Pro" w:cs="Mangal Pro"/>
          <w:sz w:val="22"/>
          <w:szCs w:val="22"/>
        </w:rPr>
      </w:pPr>
      <w:r>
        <w:rPr>
          <w:rFonts w:ascii="Mangal Pro" w:hAnsi="Mangal Pro" w:cs="Mangal Pro"/>
          <w:sz w:val="22"/>
          <w:szCs w:val="22"/>
        </w:rPr>
        <w:t>Integrated Student Support Structures</w:t>
      </w:r>
    </w:p>
    <w:p w14:paraId="4745EB49" w14:textId="0290AA07" w:rsidR="00B72D30" w:rsidRDefault="00B72D30" w:rsidP="00804381">
      <w:pPr>
        <w:pStyle w:val="ListParagraph"/>
        <w:numPr>
          <w:ilvl w:val="0"/>
          <w:numId w:val="13"/>
        </w:numPr>
        <w:spacing w:line="240" w:lineRule="auto"/>
        <w:rPr>
          <w:rFonts w:ascii="Mangal Pro" w:hAnsi="Mangal Pro" w:cs="Mangal Pro"/>
          <w:sz w:val="22"/>
          <w:szCs w:val="22"/>
        </w:rPr>
      </w:pPr>
      <w:r>
        <w:rPr>
          <w:rFonts w:ascii="Mangal Pro" w:hAnsi="Mangal Pro" w:cs="Mangal Pro"/>
          <w:sz w:val="22"/>
          <w:szCs w:val="22"/>
        </w:rPr>
        <w:t xml:space="preserve">Enhance and support </w:t>
      </w:r>
      <w:r w:rsidR="00D8097D">
        <w:rPr>
          <w:rFonts w:ascii="Mangal Pro" w:hAnsi="Mangal Pro" w:cs="Mangal Pro"/>
          <w:sz w:val="22"/>
          <w:szCs w:val="22"/>
        </w:rPr>
        <w:t xml:space="preserve">the </w:t>
      </w:r>
      <w:r>
        <w:rPr>
          <w:rFonts w:ascii="Mangal Pro" w:hAnsi="Mangal Pro" w:cs="Mangal Pro"/>
          <w:sz w:val="22"/>
          <w:szCs w:val="22"/>
        </w:rPr>
        <w:t>Welcome Center that integrates admissions, financial aid, and orientation, ensuring students</w:t>
      </w:r>
      <w:r w:rsidR="00D8097D">
        <w:rPr>
          <w:rFonts w:ascii="Mangal Pro" w:hAnsi="Mangal Pro" w:cs="Mangal Pro"/>
          <w:sz w:val="22"/>
          <w:szCs w:val="22"/>
        </w:rPr>
        <w:t>,</w:t>
      </w:r>
      <w:r>
        <w:rPr>
          <w:rFonts w:ascii="Mangal Pro" w:hAnsi="Mangal Pro" w:cs="Mangal Pro"/>
          <w:sz w:val="22"/>
          <w:szCs w:val="22"/>
        </w:rPr>
        <w:t xml:space="preserve"> particularly disproportionately impacted populations</w:t>
      </w:r>
      <w:r w:rsidR="00D8097D">
        <w:rPr>
          <w:rFonts w:ascii="Mangal Pro" w:hAnsi="Mangal Pro" w:cs="Mangal Pro"/>
          <w:sz w:val="22"/>
          <w:szCs w:val="22"/>
        </w:rPr>
        <w:t>,</w:t>
      </w:r>
      <w:r>
        <w:rPr>
          <w:rFonts w:ascii="Mangal Pro" w:hAnsi="Mangal Pro" w:cs="Mangal Pro"/>
          <w:sz w:val="22"/>
          <w:szCs w:val="22"/>
        </w:rPr>
        <w:t xml:space="preserve"> receive holistic and coordinated support. </w:t>
      </w:r>
    </w:p>
    <w:p w14:paraId="204C7B16" w14:textId="4B6742A0" w:rsidR="00B72D30" w:rsidRDefault="00B72D30" w:rsidP="00804381">
      <w:pPr>
        <w:pStyle w:val="ListParagraph"/>
        <w:numPr>
          <w:ilvl w:val="0"/>
          <w:numId w:val="13"/>
        </w:numPr>
        <w:spacing w:line="240" w:lineRule="auto"/>
        <w:rPr>
          <w:rFonts w:ascii="Mangal Pro" w:hAnsi="Mangal Pro" w:cs="Mangal Pro"/>
          <w:sz w:val="22"/>
          <w:szCs w:val="22"/>
        </w:rPr>
      </w:pPr>
      <w:r>
        <w:rPr>
          <w:rFonts w:ascii="Mangal Pro" w:hAnsi="Mangal Pro" w:cs="Mangal Pro"/>
          <w:sz w:val="22"/>
          <w:szCs w:val="22"/>
        </w:rPr>
        <w:t>Align case management, early alert systems, and student success coaching</w:t>
      </w:r>
      <w:r w:rsidR="00D8097D">
        <w:rPr>
          <w:rFonts w:ascii="Mangal Pro" w:hAnsi="Mangal Pro" w:cs="Mangal Pro"/>
          <w:sz w:val="22"/>
          <w:szCs w:val="22"/>
        </w:rPr>
        <w:t>,</w:t>
      </w:r>
      <w:r>
        <w:rPr>
          <w:rFonts w:ascii="Mangal Pro" w:hAnsi="Mangal Pro" w:cs="Mangal Pro"/>
          <w:sz w:val="22"/>
          <w:szCs w:val="22"/>
        </w:rPr>
        <w:t xml:space="preserve"> which will guide students through course sequencing, program requirements, and transfer opportunities. </w:t>
      </w:r>
    </w:p>
    <w:p w14:paraId="41EC5530" w14:textId="20E5F6D4" w:rsidR="00B72D30" w:rsidRDefault="00B72D30" w:rsidP="00804381">
      <w:pPr>
        <w:pStyle w:val="ListParagraph"/>
        <w:numPr>
          <w:ilvl w:val="0"/>
          <w:numId w:val="12"/>
        </w:numPr>
        <w:spacing w:line="240" w:lineRule="auto"/>
        <w:rPr>
          <w:rFonts w:ascii="Mangal Pro" w:hAnsi="Mangal Pro" w:cs="Mangal Pro"/>
          <w:sz w:val="22"/>
          <w:szCs w:val="22"/>
        </w:rPr>
      </w:pPr>
      <w:r>
        <w:rPr>
          <w:rFonts w:ascii="Mangal Pro" w:hAnsi="Mangal Pro" w:cs="Mangal Pro"/>
          <w:sz w:val="22"/>
          <w:szCs w:val="22"/>
        </w:rPr>
        <w:t>Equity Cente</w:t>
      </w:r>
      <w:r w:rsidR="001B1419">
        <w:rPr>
          <w:rFonts w:ascii="Mangal Pro" w:hAnsi="Mangal Pro" w:cs="Mangal Pro"/>
          <w:sz w:val="22"/>
          <w:szCs w:val="22"/>
        </w:rPr>
        <w:t>red Academic Pathways</w:t>
      </w:r>
    </w:p>
    <w:p w14:paraId="3999AD91" w14:textId="4CBC5FBF" w:rsidR="001B1419" w:rsidRDefault="001B1419" w:rsidP="00804381">
      <w:pPr>
        <w:pStyle w:val="ListParagraph"/>
        <w:numPr>
          <w:ilvl w:val="0"/>
          <w:numId w:val="14"/>
        </w:numPr>
        <w:spacing w:line="240" w:lineRule="auto"/>
        <w:rPr>
          <w:rFonts w:ascii="Mangal Pro" w:hAnsi="Mangal Pro" w:cs="Mangal Pro"/>
          <w:sz w:val="22"/>
          <w:szCs w:val="22"/>
        </w:rPr>
      </w:pPr>
      <w:r>
        <w:rPr>
          <w:rFonts w:ascii="Mangal Pro" w:hAnsi="Mangal Pro" w:cs="Mangal Pro"/>
          <w:sz w:val="22"/>
          <w:szCs w:val="22"/>
        </w:rPr>
        <w:t>Continue to implement degree and certificate maps that clearly outline major transfer-level course sequences for Black/African American students.</w:t>
      </w:r>
    </w:p>
    <w:p w14:paraId="560EB8C1" w14:textId="050D23C7" w:rsidR="001B1419" w:rsidRDefault="001B1419" w:rsidP="00804381">
      <w:pPr>
        <w:pStyle w:val="ListParagraph"/>
        <w:numPr>
          <w:ilvl w:val="0"/>
          <w:numId w:val="14"/>
        </w:numPr>
        <w:spacing w:line="240" w:lineRule="auto"/>
        <w:rPr>
          <w:rFonts w:ascii="Mangal Pro" w:hAnsi="Mangal Pro" w:cs="Mangal Pro"/>
          <w:sz w:val="22"/>
          <w:szCs w:val="22"/>
        </w:rPr>
      </w:pPr>
      <w:r>
        <w:rPr>
          <w:rFonts w:ascii="Mangal Pro" w:hAnsi="Mangal Pro" w:cs="Mangal Pro"/>
          <w:sz w:val="22"/>
          <w:szCs w:val="22"/>
        </w:rPr>
        <w:t xml:space="preserve">Expand learning communities and culturally responsive </w:t>
      </w:r>
      <w:r w:rsidR="003F638B">
        <w:rPr>
          <w:rFonts w:ascii="Mangal Pro" w:hAnsi="Mangal Pro" w:cs="Mangal Pro"/>
          <w:sz w:val="22"/>
          <w:szCs w:val="22"/>
        </w:rPr>
        <w:t>programs</w:t>
      </w:r>
      <w:r>
        <w:rPr>
          <w:rFonts w:ascii="Mangal Pro" w:hAnsi="Mangal Pro" w:cs="Mangal Pro"/>
          <w:sz w:val="22"/>
          <w:szCs w:val="22"/>
        </w:rPr>
        <w:t xml:space="preserve"> to integrate academic support, mentoring, and counseling.</w:t>
      </w:r>
    </w:p>
    <w:p w14:paraId="6195AC6A" w14:textId="204C8404" w:rsidR="001B1419" w:rsidRDefault="001B1419" w:rsidP="00804381">
      <w:pPr>
        <w:pStyle w:val="ListParagraph"/>
        <w:numPr>
          <w:ilvl w:val="0"/>
          <w:numId w:val="14"/>
        </w:numPr>
        <w:spacing w:line="240" w:lineRule="auto"/>
        <w:rPr>
          <w:rFonts w:ascii="Mangal Pro" w:hAnsi="Mangal Pro" w:cs="Mangal Pro"/>
          <w:sz w:val="22"/>
          <w:szCs w:val="22"/>
        </w:rPr>
      </w:pPr>
      <w:r>
        <w:rPr>
          <w:rFonts w:ascii="Mangal Pro" w:hAnsi="Mangal Pro" w:cs="Mangal Pro"/>
          <w:sz w:val="22"/>
          <w:szCs w:val="22"/>
        </w:rPr>
        <w:t xml:space="preserve">Utilize disaggregated data to identify equity gaps in course completion, program progression, and transfer, informing targeted interventions within pathways, especially for Black/African American students. </w:t>
      </w:r>
    </w:p>
    <w:p w14:paraId="411EF63E" w14:textId="73771A64" w:rsidR="001B1419" w:rsidRDefault="00D8097D" w:rsidP="00804381">
      <w:pPr>
        <w:pStyle w:val="ListParagraph"/>
        <w:numPr>
          <w:ilvl w:val="0"/>
          <w:numId w:val="12"/>
        </w:numPr>
        <w:spacing w:line="240" w:lineRule="auto"/>
        <w:rPr>
          <w:rFonts w:ascii="Mangal Pro" w:hAnsi="Mangal Pro" w:cs="Mangal Pro"/>
          <w:sz w:val="22"/>
          <w:szCs w:val="22"/>
        </w:rPr>
      </w:pPr>
      <w:r>
        <w:rPr>
          <w:rFonts w:ascii="Mangal Pro" w:hAnsi="Mangal Pro" w:cs="Mangal Pro"/>
          <w:sz w:val="22"/>
          <w:szCs w:val="22"/>
        </w:rPr>
        <w:t>Cross-functional</w:t>
      </w:r>
      <w:r w:rsidR="001B1419">
        <w:rPr>
          <w:rFonts w:ascii="Mangal Pro" w:hAnsi="Mangal Pro" w:cs="Mangal Pro"/>
          <w:sz w:val="22"/>
          <w:szCs w:val="22"/>
        </w:rPr>
        <w:t xml:space="preserve"> collaboration and faculty engagement</w:t>
      </w:r>
    </w:p>
    <w:p w14:paraId="5A71E361" w14:textId="0DCD66BB" w:rsidR="001B1419" w:rsidRDefault="001B1419" w:rsidP="00804381">
      <w:pPr>
        <w:pStyle w:val="ListParagraph"/>
        <w:numPr>
          <w:ilvl w:val="0"/>
          <w:numId w:val="15"/>
        </w:numPr>
        <w:spacing w:line="240" w:lineRule="auto"/>
        <w:rPr>
          <w:rFonts w:ascii="Mangal Pro" w:hAnsi="Mangal Pro" w:cs="Mangal Pro"/>
          <w:sz w:val="22"/>
          <w:szCs w:val="22"/>
        </w:rPr>
      </w:pPr>
      <w:r>
        <w:rPr>
          <w:rFonts w:ascii="Mangal Pro" w:hAnsi="Mangal Pro" w:cs="Mangal Pro"/>
          <w:sz w:val="22"/>
          <w:szCs w:val="22"/>
        </w:rPr>
        <w:t xml:space="preserve">Foster collaboration between instructional faculty, student services, and classified professionals to ensure that course offerings, support services, and academic interventions are aligned with student pathways and Vision 2030 goals. </w:t>
      </w:r>
    </w:p>
    <w:p w14:paraId="1891FD16" w14:textId="15E52FF3" w:rsidR="001B1419" w:rsidRDefault="001B1419" w:rsidP="00804381">
      <w:pPr>
        <w:pStyle w:val="ListParagraph"/>
        <w:numPr>
          <w:ilvl w:val="0"/>
          <w:numId w:val="15"/>
        </w:numPr>
        <w:spacing w:line="240" w:lineRule="auto"/>
        <w:rPr>
          <w:rFonts w:ascii="Mangal Pro" w:hAnsi="Mangal Pro" w:cs="Mangal Pro"/>
          <w:sz w:val="22"/>
          <w:szCs w:val="22"/>
        </w:rPr>
      </w:pPr>
      <w:r>
        <w:rPr>
          <w:rFonts w:ascii="Mangal Pro" w:hAnsi="Mangal Pro" w:cs="Mangal Pro"/>
          <w:sz w:val="22"/>
          <w:szCs w:val="22"/>
        </w:rPr>
        <w:t xml:space="preserve">Provide professional development for faculty and staff focused on </w:t>
      </w:r>
      <w:r w:rsidR="00D8097D">
        <w:rPr>
          <w:rFonts w:ascii="Mangal Pro" w:hAnsi="Mangal Pro" w:cs="Mangal Pro"/>
          <w:sz w:val="22"/>
          <w:szCs w:val="22"/>
        </w:rPr>
        <w:t>equity-minded</w:t>
      </w:r>
      <w:r>
        <w:rPr>
          <w:rFonts w:ascii="Mangal Pro" w:hAnsi="Mangal Pro" w:cs="Mangal Pro"/>
          <w:sz w:val="22"/>
          <w:szCs w:val="22"/>
        </w:rPr>
        <w:t xml:space="preserve"> teaching, culturally responsive pedagogy, and anti-racist practices to strengthen student engagement and persistence. </w:t>
      </w:r>
    </w:p>
    <w:p w14:paraId="2D73AC49" w14:textId="5586B951" w:rsidR="001B1419" w:rsidRDefault="001B1419" w:rsidP="00804381">
      <w:pPr>
        <w:pStyle w:val="ListParagraph"/>
        <w:numPr>
          <w:ilvl w:val="0"/>
          <w:numId w:val="12"/>
        </w:numPr>
        <w:spacing w:line="240" w:lineRule="auto"/>
        <w:rPr>
          <w:rFonts w:ascii="Mangal Pro" w:hAnsi="Mangal Pro" w:cs="Mangal Pro"/>
          <w:sz w:val="22"/>
          <w:szCs w:val="22"/>
        </w:rPr>
      </w:pPr>
      <w:r>
        <w:rPr>
          <w:rFonts w:ascii="Mangal Pro" w:hAnsi="Mangal Pro" w:cs="Mangal Pro"/>
          <w:sz w:val="22"/>
          <w:szCs w:val="22"/>
        </w:rPr>
        <w:lastRenderedPageBreak/>
        <w:t>Continuous Monitoring and Improvement</w:t>
      </w:r>
    </w:p>
    <w:p w14:paraId="4CE44E93" w14:textId="34F5FEEC" w:rsidR="001B1419" w:rsidRDefault="001B1419" w:rsidP="00804381">
      <w:pPr>
        <w:pStyle w:val="ListParagraph"/>
        <w:numPr>
          <w:ilvl w:val="0"/>
          <w:numId w:val="16"/>
        </w:numPr>
        <w:spacing w:line="240" w:lineRule="auto"/>
        <w:rPr>
          <w:rFonts w:ascii="Mangal Pro" w:hAnsi="Mangal Pro" w:cs="Mangal Pro"/>
          <w:sz w:val="22"/>
          <w:szCs w:val="22"/>
        </w:rPr>
      </w:pPr>
      <w:r>
        <w:rPr>
          <w:rFonts w:ascii="Mangal Pro" w:hAnsi="Mangal Pro" w:cs="Mangal Pro"/>
          <w:sz w:val="22"/>
          <w:szCs w:val="22"/>
        </w:rPr>
        <w:t xml:space="preserve">Embed ongoing assessment and evaluation using student outcome data to refine pathways, support strategies, and interventions for disproportionately impacted students. </w:t>
      </w:r>
    </w:p>
    <w:p w14:paraId="54C6813E" w14:textId="56350231" w:rsidR="001B1419" w:rsidRDefault="00D8097D" w:rsidP="00804381">
      <w:pPr>
        <w:pStyle w:val="ListParagraph"/>
        <w:numPr>
          <w:ilvl w:val="0"/>
          <w:numId w:val="16"/>
        </w:numPr>
        <w:spacing w:line="240" w:lineRule="auto"/>
        <w:rPr>
          <w:rFonts w:ascii="Mangal Pro" w:hAnsi="Mangal Pro" w:cs="Mangal Pro"/>
          <w:sz w:val="22"/>
          <w:szCs w:val="22"/>
        </w:rPr>
      </w:pPr>
      <w:r>
        <w:rPr>
          <w:rFonts w:ascii="Mangal Pro" w:hAnsi="Mangal Pro" w:cs="Mangal Pro"/>
          <w:sz w:val="22"/>
          <w:szCs w:val="22"/>
        </w:rPr>
        <w:t>Aligning</w:t>
      </w:r>
      <w:r w:rsidR="001B1419">
        <w:rPr>
          <w:rFonts w:ascii="Mangal Pro" w:hAnsi="Mangal Pro" w:cs="Mangal Pro"/>
          <w:sz w:val="22"/>
          <w:szCs w:val="22"/>
        </w:rPr>
        <w:t xml:space="preserve"> SEA program initiatives with Guided Pathways progress metrics, ensuring that equity </w:t>
      </w:r>
      <w:r w:rsidR="00620454">
        <w:rPr>
          <w:rFonts w:ascii="Mangal Pro" w:hAnsi="Mangal Pro" w:cs="Mangal Pro"/>
          <w:sz w:val="22"/>
          <w:szCs w:val="22"/>
        </w:rPr>
        <w:t>center</w:t>
      </w:r>
      <w:r w:rsidR="001B1419">
        <w:rPr>
          <w:rFonts w:ascii="Mangal Pro" w:hAnsi="Mangal Pro" w:cs="Mangal Pro"/>
          <w:sz w:val="22"/>
          <w:szCs w:val="22"/>
        </w:rPr>
        <w:t xml:space="preserve"> goals, such as enrollment, persistence, completion, and transfer</w:t>
      </w:r>
      <w:r w:rsidR="00620454">
        <w:rPr>
          <w:rFonts w:ascii="Mangal Pro" w:hAnsi="Mangal Pro" w:cs="Mangal Pro"/>
          <w:sz w:val="22"/>
          <w:szCs w:val="22"/>
        </w:rPr>
        <w:t>,</w:t>
      </w:r>
      <w:r w:rsidR="001B1419">
        <w:rPr>
          <w:rFonts w:ascii="Mangal Pro" w:hAnsi="Mangal Pro" w:cs="Mangal Pro"/>
          <w:sz w:val="22"/>
          <w:szCs w:val="22"/>
        </w:rPr>
        <w:t xml:space="preserve"> are met for all student populations. </w:t>
      </w:r>
    </w:p>
    <w:p w14:paraId="3E7067B8" w14:textId="446C4CE6" w:rsidR="001B1419" w:rsidRDefault="001B1419" w:rsidP="00804381">
      <w:pPr>
        <w:spacing w:line="240" w:lineRule="auto"/>
        <w:rPr>
          <w:rFonts w:ascii="Mangal Pro" w:hAnsi="Mangal Pro" w:cs="Mangal Pro"/>
          <w:sz w:val="22"/>
          <w:szCs w:val="22"/>
        </w:rPr>
      </w:pPr>
      <w:r>
        <w:rPr>
          <w:rFonts w:ascii="Mangal Pro" w:hAnsi="Mangal Pro" w:cs="Mangal Pro"/>
          <w:sz w:val="22"/>
          <w:szCs w:val="22"/>
        </w:rPr>
        <w:t>Through these structural changes, intentional initiatives</w:t>
      </w:r>
      <w:r w:rsidR="00D8097D">
        <w:rPr>
          <w:rFonts w:ascii="Mangal Pro" w:hAnsi="Mangal Pro" w:cs="Mangal Pro"/>
          <w:sz w:val="22"/>
          <w:szCs w:val="22"/>
        </w:rPr>
        <w:t>,</w:t>
      </w:r>
      <w:r>
        <w:rPr>
          <w:rFonts w:ascii="Mangal Pro" w:hAnsi="Mangal Pro" w:cs="Mangal Pro"/>
          <w:sz w:val="22"/>
          <w:szCs w:val="22"/>
        </w:rPr>
        <w:t xml:space="preserve"> and actions, SBVC ensures that the Guided Pathways framework is not only a roadmap for academic success but also a mechanism to close equity gaps and fulfill the Vision 2030 commitment to </w:t>
      </w:r>
      <w:r w:rsidR="00620454">
        <w:rPr>
          <w:rFonts w:ascii="Mangal Pro" w:hAnsi="Mangal Pro" w:cs="Mangal Pro"/>
          <w:sz w:val="22"/>
          <w:szCs w:val="22"/>
        </w:rPr>
        <w:t>student-centered</w:t>
      </w:r>
      <w:r>
        <w:rPr>
          <w:rFonts w:ascii="Mangal Pro" w:hAnsi="Mangal Pro" w:cs="Mangal Pro"/>
          <w:sz w:val="22"/>
          <w:szCs w:val="22"/>
        </w:rPr>
        <w:t xml:space="preserve">, equitable educational outcomes. </w:t>
      </w:r>
    </w:p>
    <w:p w14:paraId="538CD09F" w14:textId="1E31B350" w:rsidR="00DA19E4" w:rsidRPr="00DA19E4" w:rsidRDefault="00DA19E4" w:rsidP="00DA19E4">
      <w:pPr>
        <w:pStyle w:val="ListParagraph"/>
        <w:numPr>
          <w:ilvl w:val="1"/>
          <w:numId w:val="3"/>
        </w:numPr>
        <w:rPr>
          <w:rFonts w:ascii="Mangal Pro" w:hAnsi="Mangal Pro" w:cs="Mangal Pro"/>
          <w:b/>
          <w:bCs/>
          <w:sz w:val="22"/>
          <w:szCs w:val="22"/>
        </w:rPr>
      </w:pPr>
      <w:r w:rsidRPr="00DA19E4">
        <w:rPr>
          <w:rFonts w:ascii="Mangal Pro" w:hAnsi="Mangal Pro" w:cs="Mangal Pro"/>
          <w:b/>
          <w:bCs/>
          <w:sz w:val="22"/>
          <w:szCs w:val="22"/>
        </w:rPr>
        <w:t>Student Financial Aid Administration</w:t>
      </w:r>
    </w:p>
    <w:p w14:paraId="2FCC8CE7" w14:textId="77777777" w:rsidR="009D141C" w:rsidRDefault="00B4013A" w:rsidP="00804381">
      <w:pPr>
        <w:spacing w:line="240" w:lineRule="auto"/>
        <w:contextualSpacing/>
        <w:rPr>
          <w:rFonts w:ascii="Mangal Pro" w:hAnsi="Mangal Pro" w:cs="Mangal Pro"/>
          <w:sz w:val="22"/>
          <w:szCs w:val="22"/>
        </w:rPr>
      </w:pPr>
      <w:r>
        <w:rPr>
          <w:rFonts w:ascii="Mangal Pro" w:hAnsi="Mangal Pro" w:cs="Mangal Pro"/>
          <w:sz w:val="22"/>
          <w:szCs w:val="22"/>
        </w:rPr>
        <w:t xml:space="preserve">SBVC is committed to maximizing </w:t>
      </w:r>
      <w:r w:rsidR="00A949AD">
        <w:rPr>
          <w:rFonts w:ascii="Mangal Pro" w:hAnsi="Mangal Pro" w:cs="Mangal Pro"/>
          <w:sz w:val="22"/>
          <w:szCs w:val="22"/>
        </w:rPr>
        <w:t xml:space="preserve">financial aid access and supporting the success of </w:t>
      </w:r>
      <w:r w:rsidR="002944FD">
        <w:rPr>
          <w:rFonts w:ascii="Mangal Pro" w:hAnsi="Mangal Pro" w:cs="Mangal Pro"/>
          <w:sz w:val="22"/>
          <w:szCs w:val="22"/>
        </w:rPr>
        <w:t>disproportionately</w:t>
      </w:r>
      <w:r w:rsidR="00A949AD">
        <w:rPr>
          <w:rFonts w:ascii="Mangal Pro" w:hAnsi="Mangal Pro" w:cs="Mangal Pro"/>
          <w:sz w:val="22"/>
          <w:szCs w:val="22"/>
        </w:rPr>
        <w:t xml:space="preserve"> impacted students, particularly B</w:t>
      </w:r>
      <w:r w:rsidR="002944FD">
        <w:rPr>
          <w:rFonts w:ascii="Mangal Pro" w:hAnsi="Mangal Pro" w:cs="Mangal Pro"/>
          <w:sz w:val="22"/>
          <w:szCs w:val="22"/>
        </w:rPr>
        <w:t>lack/African American students. Key strategies include, but are not limited to:</w:t>
      </w:r>
    </w:p>
    <w:p w14:paraId="646DF538" w14:textId="7BF70A9E" w:rsidR="00A85ED9" w:rsidRPr="009D141C" w:rsidRDefault="00A85ED9" w:rsidP="00804381">
      <w:pPr>
        <w:pStyle w:val="ListParagraph"/>
        <w:numPr>
          <w:ilvl w:val="0"/>
          <w:numId w:val="46"/>
        </w:numPr>
        <w:spacing w:line="240" w:lineRule="auto"/>
        <w:rPr>
          <w:rFonts w:ascii="Mangal Pro" w:hAnsi="Mangal Pro" w:cs="Mangal Pro"/>
          <w:sz w:val="22"/>
          <w:szCs w:val="22"/>
        </w:rPr>
      </w:pPr>
      <w:r w:rsidRPr="009D141C">
        <w:rPr>
          <w:rFonts w:ascii="Mangal Pro" w:hAnsi="Mangal Pro" w:cs="Mangal Pro"/>
          <w:sz w:val="22"/>
          <w:szCs w:val="22"/>
        </w:rPr>
        <w:t>FAFSA completion and outreach</w:t>
      </w:r>
    </w:p>
    <w:p w14:paraId="09BD9D06" w14:textId="21B520E9" w:rsidR="00A85ED9" w:rsidRDefault="00A85ED9" w:rsidP="00804381">
      <w:pPr>
        <w:pStyle w:val="ListParagraph"/>
        <w:numPr>
          <w:ilvl w:val="0"/>
          <w:numId w:val="17"/>
        </w:numPr>
        <w:spacing w:line="240" w:lineRule="auto"/>
        <w:rPr>
          <w:rFonts w:ascii="Mangal Pro" w:hAnsi="Mangal Pro" w:cs="Mangal Pro"/>
          <w:sz w:val="22"/>
          <w:szCs w:val="22"/>
        </w:rPr>
      </w:pPr>
      <w:r>
        <w:rPr>
          <w:rFonts w:ascii="Mangal Pro" w:hAnsi="Mangal Pro" w:cs="Mangal Pro"/>
          <w:sz w:val="22"/>
          <w:szCs w:val="22"/>
        </w:rPr>
        <w:t xml:space="preserve">Conduct targeted outreach campaigns in collaboration with high schools, community organizations, and internal departments. </w:t>
      </w:r>
    </w:p>
    <w:p w14:paraId="21764596" w14:textId="5116153B" w:rsidR="00A85ED9" w:rsidRDefault="00A85ED9" w:rsidP="00804381">
      <w:pPr>
        <w:pStyle w:val="ListParagraph"/>
        <w:numPr>
          <w:ilvl w:val="0"/>
          <w:numId w:val="17"/>
        </w:numPr>
        <w:spacing w:line="240" w:lineRule="auto"/>
        <w:rPr>
          <w:rFonts w:ascii="Mangal Pro" w:hAnsi="Mangal Pro" w:cs="Mangal Pro"/>
          <w:sz w:val="22"/>
          <w:szCs w:val="22"/>
        </w:rPr>
      </w:pPr>
      <w:r>
        <w:rPr>
          <w:rFonts w:ascii="Mangal Pro" w:hAnsi="Mangal Pro" w:cs="Mangal Pro"/>
          <w:sz w:val="22"/>
          <w:szCs w:val="22"/>
        </w:rPr>
        <w:t xml:space="preserve">Offer bilingual workshops, virtual sessions, and one-on-one assistance to guide students and families through the application process. </w:t>
      </w:r>
    </w:p>
    <w:p w14:paraId="4FE4B8C5" w14:textId="1371B32A" w:rsidR="00A85ED9" w:rsidRPr="009D141C" w:rsidRDefault="00A85ED9" w:rsidP="00804381">
      <w:pPr>
        <w:pStyle w:val="ListParagraph"/>
        <w:numPr>
          <w:ilvl w:val="0"/>
          <w:numId w:val="46"/>
        </w:numPr>
        <w:spacing w:line="240" w:lineRule="auto"/>
        <w:rPr>
          <w:rFonts w:ascii="Mangal Pro" w:hAnsi="Mangal Pro" w:cs="Mangal Pro"/>
          <w:sz w:val="22"/>
          <w:szCs w:val="22"/>
        </w:rPr>
      </w:pPr>
      <w:r w:rsidRPr="009D141C">
        <w:rPr>
          <w:rFonts w:ascii="Mangal Pro" w:hAnsi="Mangal Pro" w:cs="Mangal Pro"/>
          <w:sz w:val="22"/>
          <w:szCs w:val="22"/>
        </w:rPr>
        <w:t>Holistic Financial Aid Guidance</w:t>
      </w:r>
    </w:p>
    <w:p w14:paraId="775FBE6F" w14:textId="562533D9" w:rsidR="00A85ED9" w:rsidRDefault="00A85ED9" w:rsidP="00804381">
      <w:pPr>
        <w:pStyle w:val="ListParagraph"/>
        <w:numPr>
          <w:ilvl w:val="0"/>
          <w:numId w:val="18"/>
        </w:numPr>
        <w:spacing w:line="240" w:lineRule="auto"/>
        <w:rPr>
          <w:rFonts w:ascii="Mangal Pro" w:hAnsi="Mangal Pro" w:cs="Mangal Pro"/>
          <w:sz w:val="22"/>
          <w:szCs w:val="22"/>
        </w:rPr>
      </w:pPr>
      <w:r>
        <w:rPr>
          <w:rFonts w:ascii="Mangal Pro" w:hAnsi="Mangal Pro" w:cs="Mangal Pro"/>
          <w:sz w:val="22"/>
          <w:szCs w:val="22"/>
        </w:rPr>
        <w:t xml:space="preserve">Provide early notifications and reminders for students regarding Pell Grants, Cal Grants, scholarships, and emergency </w:t>
      </w:r>
      <w:r w:rsidR="00C62406">
        <w:rPr>
          <w:rFonts w:ascii="Mangal Pro" w:hAnsi="Mangal Pro" w:cs="Mangal Pro"/>
          <w:sz w:val="22"/>
          <w:szCs w:val="22"/>
        </w:rPr>
        <w:t xml:space="preserve">aid. </w:t>
      </w:r>
    </w:p>
    <w:p w14:paraId="5FB66F08" w14:textId="7C8862FB" w:rsidR="00C62406" w:rsidRDefault="00C62406" w:rsidP="00804381">
      <w:pPr>
        <w:pStyle w:val="ListParagraph"/>
        <w:numPr>
          <w:ilvl w:val="0"/>
          <w:numId w:val="18"/>
        </w:numPr>
        <w:spacing w:line="240" w:lineRule="auto"/>
        <w:rPr>
          <w:rFonts w:ascii="Mangal Pro" w:hAnsi="Mangal Pro" w:cs="Mangal Pro"/>
          <w:sz w:val="22"/>
          <w:szCs w:val="22"/>
        </w:rPr>
      </w:pPr>
      <w:r>
        <w:rPr>
          <w:rFonts w:ascii="Mangal Pro" w:hAnsi="Mangal Pro" w:cs="Mangal Pro"/>
          <w:sz w:val="22"/>
          <w:szCs w:val="22"/>
        </w:rPr>
        <w:t xml:space="preserve">Offer workshops on financial literacy, budgeting, and planning to help students maintain enrollment and progress toward completion. </w:t>
      </w:r>
    </w:p>
    <w:p w14:paraId="37A7541C" w14:textId="1EC86CD1" w:rsidR="00C62406" w:rsidRDefault="00226685" w:rsidP="00804381">
      <w:pPr>
        <w:pStyle w:val="ListParagraph"/>
        <w:numPr>
          <w:ilvl w:val="0"/>
          <w:numId w:val="46"/>
        </w:numPr>
        <w:spacing w:line="240" w:lineRule="auto"/>
        <w:rPr>
          <w:rFonts w:ascii="Mangal Pro" w:hAnsi="Mangal Pro" w:cs="Mangal Pro"/>
          <w:sz w:val="22"/>
          <w:szCs w:val="22"/>
        </w:rPr>
      </w:pPr>
      <w:r>
        <w:rPr>
          <w:rFonts w:ascii="Mangal Pro" w:hAnsi="Mangal Pro" w:cs="Mangal Pro"/>
          <w:sz w:val="22"/>
          <w:szCs w:val="22"/>
        </w:rPr>
        <w:t>Data-Informed Evaluation</w:t>
      </w:r>
    </w:p>
    <w:p w14:paraId="7F868867" w14:textId="114FA83C" w:rsidR="00226685" w:rsidRDefault="00226685" w:rsidP="00804381">
      <w:pPr>
        <w:pStyle w:val="ListParagraph"/>
        <w:numPr>
          <w:ilvl w:val="0"/>
          <w:numId w:val="19"/>
        </w:numPr>
        <w:spacing w:line="240" w:lineRule="auto"/>
        <w:rPr>
          <w:rFonts w:ascii="Mangal Pro" w:hAnsi="Mangal Pro" w:cs="Mangal Pro"/>
          <w:sz w:val="22"/>
          <w:szCs w:val="22"/>
        </w:rPr>
      </w:pPr>
      <w:r>
        <w:rPr>
          <w:rFonts w:ascii="Mangal Pro" w:hAnsi="Mangal Pro" w:cs="Mangal Pro"/>
          <w:sz w:val="22"/>
          <w:szCs w:val="22"/>
        </w:rPr>
        <w:t xml:space="preserve">Use disaggregated data to track FAFSA completion, receipt, and impact on enrollment </w:t>
      </w:r>
      <w:r w:rsidR="009C31A8">
        <w:rPr>
          <w:rFonts w:ascii="Mangal Pro" w:hAnsi="Mangal Pro" w:cs="Mangal Pro"/>
          <w:sz w:val="22"/>
          <w:szCs w:val="22"/>
        </w:rPr>
        <w:t xml:space="preserve">and persistence. </w:t>
      </w:r>
    </w:p>
    <w:p w14:paraId="6C2A1D8F" w14:textId="0EE6DC24" w:rsidR="009C31A8" w:rsidRDefault="009C31A8" w:rsidP="00804381">
      <w:pPr>
        <w:pStyle w:val="ListParagraph"/>
        <w:numPr>
          <w:ilvl w:val="0"/>
          <w:numId w:val="19"/>
        </w:numPr>
        <w:spacing w:line="240" w:lineRule="auto"/>
        <w:rPr>
          <w:rFonts w:ascii="Mangal Pro" w:hAnsi="Mangal Pro" w:cs="Mangal Pro"/>
          <w:sz w:val="22"/>
          <w:szCs w:val="22"/>
        </w:rPr>
      </w:pPr>
      <w:r>
        <w:rPr>
          <w:rFonts w:ascii="Mangal Pro" w:hAnsi="Mangal Pro" w:cs="Mangal Pro"/>
          <w:sz w:val="22"/>
          <w:szCs w:val="22"/>
        </w:rPr>
        <w:t xml:space="preserve">Regularly assess financial aid outreach and support strategies to identify gaps and refine interventions for DI student populations. </w:t>
      </w:r>
    </w:p>
    <w:p w14:paraId="354635EC" w14:textId="011007C0" w:rsidR="00DA19E4" w:rsidRDefault="009D204A" w:rsidP="00804381">
      <w:pPr>
        <w:spacing w:line="240" w:lineRule="auto"/>
        <w:contextualSpacing/>
        <w:rPr>
          <w:rFonts w:ascii="Mangal Pro" w:hAnsi="Mangal Pro" w:cs="Mangal Pro"/>
          <w:sz w:val="22"/>
          <w:szCs w:val="22"/>
        </w:rPr>
      </w:pPr>
      <w:r>
        <w:rPr>
          <w:rFonts w:ascii="Mangal Pro" w:hAnsi="Mangal Pro" w:cs="Mangal Pro"/>
          <w:sz w:val="22"/>
          <w:szCs w:val="22"/>
        </w:rPr>
        <w:lastRenderedPageBreak/>
        <w:t>SBVC will ensure that financial barriers are minimized and that all students can access the resources necessary to enroll, persist, and succeed academically.</w:t>
      </w:r>
    </w:p>
    <w:p w14:paraId="1AC32F5A" w14:textId="293F3C84" w:rsidR="00F23685" w:rsidRPr="009D186E" w:rsidRDefault="00C07670" w:rsidP="009D186E">
      <w:pPr>
        <w:ind w:left="450"/>
        <w:rPr>
          <w:rFonts w:ascii="Mangal Pro" w:hAnsi="Mangal Pro" w:cs="Mangal Pro"/>
          <w:b/>
          <w:bCs/>
          <w:sz w:val="22"/>
          <w:szCs w:val="22"/>
        </w:rPr>
      </w:pPr>
      <w:r w:rsidRPr="009D186E">
        <w:rPr>
          <w:rFonts w:ascii="Mangal Pro" w:hAnsi="Mangal Pro" w:cs="Mangal Pro"/>
          <w:b/>
          <w:bCs/>
          <w:sz w:val="22"/>
          <w:szCs w:val="22"/>
        </w:rPr>
        <w:t xml:space="preserve">3. </w:t>
      </w:r>
      <w:r w:rsidR="00F23685" w:rsidRPr="009D186E">
        <w:rPr>
          <w:rFonts w:ascii="Mangal Pro" w:hAnsi="Mangal Pro" w:cs="Mangal Pro"/>
          <w:b/>
          <w:bCs/>
          <w:sz w:val="22"/>
          <w:szCs w:val="22"/>
        </w:rPr>
        <w:t>Student Accessibility Services (SAS)</w:t>
      </w:r>
    </w:p>
    <w:p w14:paraId="7A98DC5F" w14:textId="668B7896" w:rsidR="00686582" w:rsidRPr="009D141C" w:rsidRDefault="00DC14A3" w:rsidP="00804381">
      <w:pPr>
        <w:pStyle w:val="ListParagraph"/>
        <w:numPr>
          <w:ilvl w:val="1"/>
          <w:numId w:val="1"/>
        </w:numPr>
        <w:spacing w:line="240" w:lineRule="auto"/>
        <w:rPr>
          <w:rFonts w:ascii="Mangal Pro" w:hAnsi="Mangal Pro" w:cs="Mangal Pro"/>
          <w:sz w:val="22"/>
          <w:szCs w:val="22"/>
        </w:rPr>
      </w:pPr>
      <w:r w:rsidRPr="009D141C">
        <w:rPr>
          <w:rFonts w:ascii="Mangal Pro" w:hAnsi="Mangal Pro" w:cs="Mangal Pro"/>
          <w:b/>
          <w:bCs/>
          <w:sz w:val="22"/>
          <w:szCs w:val="22"/>
        </w:rPr>
        <w:t>Student</w:t>
      </w:r>
      <w:r w:rsidR="00686582" w:rsidRPr="009D141C">
        <w:rPr>
          <w:rFonts w:ascii="Mangal Pro" w:hAnsi="Mangal Pro" w:cs="Mangal Pro"/>
          <w:b/>
          <w:bCs/>
          <w:sz w:val="22"/>
          <w:szCs w:val="22"/>
        </w:rPr>
        <w:t xml:space="preserve"> Accessibility Services (SAS)</w:t>
      </w:r>
      <w:r w:rsidR="00686582" w:rsidRPr="009D141C">
        <w:rPr>
          <w:rFonts w:ascii="Mangal Pro" w:hAnsi="Mangal Pro" w:cs="Mangal Pro"/>
          <w:sz w:val="22"/>
          <w:szCs w:val="22"/>
        </w:rPr>
        <w:t xml:space="preserve"> is committed to ensuring equitable access and supporting </w:t>
      </w:r>
      <w:r w:rsidRPr="009D141C">
        <w:rPr>
          <w:rFonts w:ascii="Mangal Pro" w:hAnsi="Mangal Pro" w:cs="Mangal Pro"/>
          <w:sz w:val="22"/>
          <w:szCs w:val="22"/>
        </w:rPr>
        <w:t>disproportionately impacted students in achieving academic success. Key strategies, but not limited to:</w:t>
      </w:r>
    </w:p>
    <w:p w14:paraId="07108054" w14:textId="428162AC" w:rsidR="00DC14A3" w:rsidRDefault="00EA4E83" w:rsidP="00804381">
      <w:pPr>
        <w:pStyle w:val="ListParagraph"/>
        <w:numPr>
          <w:ilvl w:val="0"/>
          <w:numId w:val="20"/>
        </w:numPr>
        <w:spacing w:line="240" w:lineRule="auto"/>
        <w:rPr>
          <w:rFonts w:ascii="Mangal Pro" w:hAnsi="Mangal Pro" w:cs="Mangal Pro"/>
          <w:sz w:val="22"/>
          <w:szCs w:val="22"/>
        </w:rPr>
      </w:pPr>
      <w:r>
        <w:rPr>
          <w:rFonts w:ascii="Mangal Pro" w:hAnsi="Mangal Pro" w:cs="Mangal Pro"/>
          <w:sz w:val="22"/>
          <w:szCs w:val="22"/>
        </w:rPr>
        <w:t>Proactive Outreach and Early Engagement</w:t>
      </w:r>
    </w:p>
    <w:p w14:paraId="0E80D773" w14:textId="2AC50C1D" w:rsidR="00EA4E83" w:rsidRDefault="00EA4E83" w:rsidP="00804381">
      <w:pPr>
        <w:pStyle w:val="ListParagraph"/>
        <w:numPr>
          <w:ilvl w:val="0"/>
          <w:numId w:val="21"/>
        </w:numPr>
        <w:spacing w:line="240" w:lineRule="auto"/>
        <w:rPr>
          <w:rFonts w:ascii="Mangal Pro" w:hAnsi="Mangal Pro" w:cs="Mangal Pro"/>
          <w:sz w:val="22"/>
          <w:szCs w:val="22"/>
        </w:rPr>
      </w:pPr>
      <w:r>
        <w:rPr>
          <w:rFonts w:ascii="Mangal Pro" w:hAnsi="Mangal Pro" w:cs="Mangal Pro"/>
          <w:sz w:val="22"/>
          <w:szCs w:val="22"/>
        </w:rPr>
        <w:t>SAS staff will identify and reach out to students with disabilities early in the enrollment process to</w:t>
      </w:r>
      <w:r w:rsidR="00A32996">
        <w:rPr>
          <w:rFonts w:ascii="Mangal Pro" w:hAnsi="Mangal Pro" w:cs="Mangal Pro"/>
          <w:sz w:val="22"/>
          <w:szCs w:val="22"/>
        </w:rPr>
        <w:t xml:space="preserve"> provide guidance on</w:t>
      </w:r>
      <w:r>
        <w:rPr>
          <w:rFonts w:ascii="Mangal Pro" w:hAnsi="Mangal Pro" w:cs="Mangal Pro"/>
          <w:sz w:val="22"/>
          <w:szCs w:val="22"/>
        </w:rPr>
        <w:t xml:space="preserve"> accommodations, academic planning, and campus resources. </w:t>
      </w:r>
    </w:p>
    <w:p w14:paraId="7C831852" w14:textId="42DC2D5D" w:rsidR="002E6631" w:rsidRDefault="00A32996" w:rsidP="00804381">
      <w:pPr>
        <w:pStyle w:val="ListParagraph"/>
        <w:numPr>
          <w:ilvl w:val="0"/>
          <w:numId w:val="21"/>
        </w:numPr>
        <w:spacing w:line="240" w:lineRule="auto"/>
        <w:rPr>
          <w:rFonts w:ascii="Mangal Pro" w:hAnsi="Mangal Pro" w:cs="Mangal Pro"/>
          <w:sz w:val="22"/>
          <w:szCs w:val="22"/>
        </w:rPr>
      </w:pPr>
      <w:r>
        <w:rPr>
          <w:rFonts w:ascii="Mangal Pro" w:hAnsi="Mangal Pro" w:cs="Mangal Pro"/>
          <w:sz w:val="22"/>
          <w:szCs w:val="22"/>
        </w:rPr>
        <w:t>Collaborate with counseling, outreach, and equity programs to ensure students are aware of SAS services</w:t>
      </w:r>
      <w:r w:rsidR="002E6631">
        <w:rPr>
          <w:rFonts w:ascii="Mangal Pro" w:hAnsi="Mangal Pro" w:cs="Mangal Pro"/>
          <w:sz w:val="22"/>
          <w:szCs w:val="22"/>
        </w:rPr>
        <w:t>.</w:t>
      </w:r>
    </w:p>
    <w:p w14:paraId="0E9CF0FB" w14:textId="02D08E1A" w:rsidR="002E6631" w:rsidRDefault="002E6631" w:rsidP="00804381">
      <w:pPr>
        <w:pStyle w:val="ListParagraph"/>
        <w:numPr>
          <w:ilvl w:val="0"/>
          <w:numId w:val="20"/>
        </w:numPr>
        <w:spacing w:line="240" w:lineRule="auto"/>
        <w:rPr>
          <w:rFonts w:ascii="Mangal Pro" w:hAnsi="Mangal Pro" w:cs="Mangal Pro"/>
          <w:sz w:val="22"/>
          <w:szCs w:val="22"/>
        </w:rPr>
      </w:pPr>
      <w:r>
        <w:rPr>
          <w:rFonts w:ascii="Mangal Pro" w:hAnsi="Mangal Pro" w:cs="Mangal Pro"/>
          <w:sz w:val="22"/>
          <w:szCs w:val="22"/>
        </w:rPr>
        <w:t>Professional Development and Campus Collaboration</w:t>
      </w:r>
    </w:p>
    <w:p w14:paraId="02365EAD" w14:textId="77777777" w:rsidR="0036577D" w:rsidRDefault="0036577D" w:rsidP="00804381">
      <w:pPr>
        <w:pStyle w:val="ListParagraph"/>
        <w:numPr>
          <w:ilvl w:val="0"/>
          <w:numId w:val="22"/>
        </w:numPr>
        <w:spacing w:line="240" w:lineRule="auto"/>
        <w:rPr>
          <w:rFonts w:ascii="Mangal Pro" w:hAnsi="Mangal Pro" w:cs="Mangal Pro"/>
          <w:sz w:val="22"/>
          <w:szCs w:val="22"/>
        </w:rPr>
      </w:pPr>
      <w:r>
        <w:rPr>
          <w:rFonts w:ascii="Mangal Pro" w:hAnsi="Mangal Pro" w:cs="Mangal Pro"/>
          <w:sz w:val="22"/>
          <w:szCs w:val="22"/>
        </w:rPr>
        <w:t>Provide workshops to faculty and staff on inclusive teaching practices, accessibility, and equity-minded pedagogy.</w:t>
      </w:r>
    </w:p>
    <w:p w14:paraId="7A0570F9" w14:textId="77777777" w:rsidR="004C5352" w:rsidRDefault="0036577D" w:rsidP="00804381">
      <w:pPr>
        <w:pStyle w:val="ListParagraph"/>
        <w:numPr>
          <w:ilvl w:val="0"/>
          <w:numId w:val="22"/>
        </w:numPr>
        <w:spacing w:line="240" w:lineRule="auto"/>
        <w:rPr>
          <w:rFonts w:ascii="Mangal Pro" w:hAnsi="Mangal Pro" w:cs="Mangal Pro"/>
          <w:sz w:val="22"/>
          <w:szCs w:val="22"/>
        </w:rPr>
      </w:pPr>
      <w:r>
        <w:rPr>
          <w:rFonts w:ascii="Mangal Pro" w:hAnsi="Mangal Pro" w:cs="Mangal Pro"/>
          <w:sz w:val="22"/>
          <w:szCs w:val="22"/>
        </w:rPr>
        <w:t>Collaborate with student services and in</w:t>
      </w:r>
      <w:r w:rsidR="00962E19">
        <w:rPr>
          <w:rFonts w:ascii="Mangal Pro" w:hAnsi="Mangal Pro" w:cs="Mangal Pro"/>
          <w:sz w:val="22"/>
          <w:szCs w:val="22"/>
        </w:rPr>
        <w:t xml:space="preserve">structional divisions </w:t>
      </w:r>
      <w:r w:rsidR="004C5352">
        <w:rPr>
          <w:rFonts w:ascii="Mangal Pro" w:hAnsi="Mangal Pro" w:cs="Mangal Pro"/>
          <w:sz w:val="22"/>
          <w:szCs w:val="22"/>
        </w:rPr>
        <w:t xml:space="preserve">to embed SAS support into pathways, ensuring all students have equitable opportunities to succeed. </w:t>
      </w:r>
    </w:p>
    <w:p w14:paraId="53FF65B4" w14:textId="77777777" w:rsidR="009D186E" w:rsidRDefault="004C5352" w:rsidP="00804381">
      <w:pPr>
        <w:spacing w:line="240" w:lineRule="auto"/>
        <w:rPr>
          <w:rFonts w:ascii="Mangal Pro" w:hAnsi="Mangal Pro" w:cs="Mangal Pro"/>
          <w:sz w:val="22"/>
          <w:szCs w:val="22"/>
        </w:rPr>
      </w:pPr>
      <w:r>
        <w:rPr>
          <w:rFonts w:ascii="Mangal Pro" w:hAnsi="Mangal Pro" w:cs="Mangal Pro"/>
          <w:sz w:val="22"/>
          <w:szCs w:val="22"/>
        </w:rPr>
        <w:t xml:space="preserve">Through these coordinated efforts, SAS supports the removal of systemic and structural barriers, promoting equitable enrollment, persistence, and completion for Black/African American students. </w:t>
      </w:r>
    </w:p>
    <w:p w14:paraId="1BF823B0" w14:textId="45425AB3" w:rsidR="00B83A33" w:rsidRPr="009D186E" w:rsidRDefault="00B83A33" w:rsidP="00804381">
      <w:pPr>
        <w:pStyle w:val="ListParagraph"/>
        <w:numPr>
          <w:ilvl w:val="0"/>
          <w:numId w:val="46"/>
        </w:numPr>
        <w:spacing w:line="240" w:lineRule="auto"/>
        <w:ind w:left="806"/>
        <w:rPr>
          <w:rFonts w:ascii="Mangal Pro" w:hAnsi="Mangal Pro" w:cs="Mangal Pro"/>
          <w:sz w:val="22"/>
          <w:szCs w:val="22"/>
        </w:rPr>
      </w:pPr>
      <w:r w:rsidRPr="009D186E">
        <w:rPr>
          <w:rFonts w:ascii="Mangal Pro" w:hAnsi="Mangal Pro" w:cs="Mangal Pro"/>
          <w:b/>
          <w:bCs/>
          <w:sz w:val="22"/>
          <w:szCs w:val="22"/>
        </w:rPr>
        <w:t>Extended Opportunity Programs &amp; Services (EOPS), Cooperative Agencies Resources for Education (CARE) and CalWORKs</w:t>
      </w:r>
    </w:p>
    <w:p w14:paraId="06E9EA96" w14:textId="4934F38C" w:rsidR="002E6631" w:rsidRDefault="004B2471" w:rsidP="00804381">
      <w:pPr>
        <w:spacing w:line="240" w:lineRule="auto"/>
        <w:rPr>
          <w:rFonts w:ascii="Mangal Pro" w:hAnsi="Mangal Pro" w:cs="Mangal Pro"/>
          <w:sz w:val="22"/>
          <w:szCs w:val="22"/>
        </w:rPr>
      </w:pPr>
      <w:r>
        <w:rPr>
          <w:rFonts w:ascii="Mangal Pro" w:hAnsi="Mangal Pro" w:cs="Mangal Pro"/>
          <w:sz w:val="22"/>
          <w:szCs w:val="22"/>
        </w:rPr>
        <w:t xml:space="preserve">EOPS/CARE &amp; CalWORKs programs are committed to removing barriers and promoting equitable success for disproportionately impacted </w:t>
      </w:r>
      <w:r w:rsidR="004719B2">
        <w:rPr>
          <w:rFonts w:ascii="Mangal Pro" w:hAnsi="Mangal Pro" w:cs="Mangal Pro"/>
          <w:sz w:val="22"/>
          <w:szCs w:val="22"/>
        </w:rPr>
        <w:t>students, particularly Black/African American students. Key strategies include</w:t>
      </w:r>
      <w:r w:rsidR="005A363A">
        <w:rPr>
          <w:rFonts w:ascii="Mangal Pro" w:hAnsi="Mangal Pro" w:cs="Mangal Pro"/>
          <w:sz w:val="22"/>
          <w:szCs w:val="22"/>
        </w:rPr>
        <w:t>,</w:t>
      </w:r>
      <w:r w:rsidR="004719B2">
        <w:rPr>
          <w:rFonts w:ascii="Mangal Pro" w:hAnsi="Mangal Pro" w:cs="Mangal Pro"/>
          <w:sz w:val="22"/>
          <w:szCs w:val="22"/>
        </w:rPr>
        <w:t xml:space="preserve"> but are not limited to:</w:t>
      </w:r>
    </w:p>
    <w:p w14:paraId="211D1AA7" w14:textId="2EF665AB" w:rsidR="00C61CB7" w:rsidRDefault="00C61CB7" w:rsidP="00804381">
      <w:pPr>
        <w:spacing w:line="240" w:lineRule="auto"/>
        <w:rPr>
          <w:rFonts w:ascii="Mangal Pro" w:hAnsi="Mangal Pro" w:cs="Mangal Pro"/>
          <w:sz w:val="22"/>
          <w:szCs w:val="22"/>
        </w:rPr>
      </w:pPr>
      <w:r>
        <w:rPr>
          <w:rFonts w:ascii="Mangal Pro" w:hAnsi="Mangal Pro" w:cs="Mangal Pro"/>
          <w:sz w:val="22"/>
          <w:szCs w:val="22"/>
        </w:rPr>
        <w:t>SBVC’s EOPS/CARE &amp; CalWORKs Programs are committed to removing barriers and promoting equitable success for disproportionately impacted students, particularly Black/African American students. Key strategies include, but are not limited to:</w:t>
      </w:r>
    </w:p>
    <w:p w14:paraId="74944877" w14:textId="0BA75F0E" w:rsidR="00C61CB7" w:rsidRDefault="00C61CB7" w:rsidP="00804381">
      <w:pPr>
        <w:pStyle w:val="ListParagraph"/>
        <w:numPr>
          <w:ilvl w:val="0"/>
          <w:numId w:val="23"/>
        </w:numPr>
        <w:spacing w:line="240" w:lineRule="auto"/>
        <w:rPr>
          <w:rFonts w:ascii="Mangal Pro" w:hAnsi="Mangal Pro" w:cs="Mangal Pro"/>
          <w:sz w:val="22"/>
          <w:szCs w:val="22"/>
        </w:rPr>
      </w:pPr>
      <w:r>
        <w:rPr>
          <w:rFonts w:ascii="Mangal Pro" w:hAnsi="Mangal Pro" w:cs="Mangal Pro"/>
          <w:b/>
          <w:bCs/>
          <w:sz w:val="22"/>
          <w:szCs w:val="22"/>
        </w:rPr>
        <w:lastRenderedPageBreak/>
        <w:t>Proactive Outreach and Early Enrollment Support</w:t>
      </w:r>
      <w:r>
        <w:rPr>
          <w:rFonts w:ascii="Mangal Pro" w:hAnsi="Mangal Pro" w:cs="Mangal Pro"/>
          <w:sz w:val="22"/>
          <w:szCs w:val="22"/>
        </w:rPr>
        <w:br/>
        <w:t>a) Conduct targeted outreach to identify eligible students early, especially those from underrepresented communities, to maximize program participation.</w:t>
      </w:r>
      <w:r>
        <w:rPr>
          <w:rFonts w:ascii="Mangal Pro" w:hAnsi="Mangal Pro" w:cs="Mangal Pro"/>
          <w:sz w:val="22"/>
          <w:szCs w:val="22"/>
        </w:rPr>
        <w:br/>
        <w:t>b) Assist students with application completion, financial aid coordination, and enrollment support, ensuring timely connection to essential resources.</w:t>
      </w:r>
    </w:p>
    <w:p w14:paraId="7EBD8517" w14:textId="0A15430C" w:rsidR="008C1741" w:rsidRDefault="005130C2" w:rsidP="00804381">
      <w:pPr>
        <w:pStyle w:val="ListParagraph"/>
        <w:numPr>
          <w:ilvl w:val="0"/>
          <w:numId w:val="23"/>
        </w:numPr>
        <w:spacing w:line="240" w:lineRule="auto"/>
        <w:rPr>
          <w:rFonts w:ascii="Mangal Pro" w:hAnsi="Mangal Pro" w:cs="Mangal Pro"/>
          <w:sz w:val="22"/>
          <w:szCs w:val="22"/>
        </w:rPr>
      </w:pPr>
      <w:r>
        <w:rPr>
          <w:rFonts w:ascii="Mangal Pro" w:hAnsi="Mangal Pro" w:cs="Mangal Pro"/>
          <w:b/>
          <w:bCs/>
          <w:sz w:val="22"/>
          <w:szCs w:val="22"/>
        </w:rPr>
        <w:t>Integration with Equity Initiatives</w:t>
      </w:r>
      <w:r>
        <w:rPr>
          <w:rFonts w:ascii="Mangal Pro" w:hAnsi="Mangal Pro" w:cs="Mangal Pro"/>
          <w:sz w:val="22"/>
          <w:szCs w:val="22"/>
        </w:rPr>
        <w:br/>
        <w:t>a) Collaborate with Guided Pathways, Umoja-Tumaini, Puente, Tatayan, and First Year Experience programs to provide culturally relevant academic and mentoring support.</w:t>
      </w:r>
      <w:r>
        <w:rPr>
          <w:rFonts w:ascii="Mangal Pro" w:hAnsi="Mangal Pro" w:cs="Mangal Pro"/>
          <w:sz w:val="22"/>
          <w:szCs w:val="22"/>
        </w:rPr>
        <w:br/>
        <w:t>b) Use data-driven tracking to monitor student progress, identify at-risk students, and intervene early to prevent stop-outs.</w:t>
      </w:r>
      <w:r>
        <w:rPr>
          <w:rFonts w:ascii="Mangal Pro" w:hAnsi="Mangal Pro" w:cs="Mangal Pro"/>
          <w:sz w:val="22"/>
          <w:szCs w:val="22"/>
        </w:rPr>
        <w:br/>
        <w:t>c) Track and report outcomes related to enrollment, persistence, degree/certificate completion, and transfer, with particular attention to Black/African American and Hispanic/Latine students.</w:t>
      </w:r>
    </w:p>
    <w:p w14:paraId="1B9C254D" w14:textId="77777777" w:rsidR="009D186E" w:rsidRDefault="000D1420" w:rsidP="00804381">
      <w:pPr>
        <w:spacing w:line="240" w:lineRule="auto"/>
        <w:rPr>
          <w:rFonts w:ascii="Mangal Pro" w:hAnsi="Mangal Pro" w:cs="Mangal Pro"/>
          <w:sz w:val="22"/>
          <w:szCs w:val="22"/>
        </w:rPr>
      </w:pPr>
      <w:r>
        <w:rPr>
          <w:rFonts w:ascii="Mangal Pro" w:hAnsi="Mangal Pro" w:cs="Mangal Pro"/>
          <w:sz w:val="22"/>
          <w:szCs w:val="22"/>
        </w:rPr>
        <w:t xml:space="preserve">EOPS/CARE and CalWORKs will continue to ensure that Black/African American and Hispanic/Latine students receive targeted academic, financial, and personal support to overcome systematic barriers, persist towards completion, and achieve their academic and career goals. </w:t>
      </w:r>
    </w:p>
    <w:p w14:paraId="1EA483C4" w14:textId="77777777" w:rsidR="009D186E" w:rsidRDefault="009D186E" w:rsidP="009D186E">
      <w:pPr>
        <w:spacing w:line="276" w:lineRule="auto"/>
        <w:rPr>
          <w:rFonts w:ascii="Mangal Pro" w:hAnsi="Mangal Pro" w:cs="Mangal Pro"/>
          <w:sz w:val="22"/>
          <w:szCs w:val="22"/>
        </w:rPr>
      </w:pPr>
    </w:p>
    <w:p w14:paraId="1941DA22" w14:textId="4216F622" w:rsidR="004A7F6B" w:rsidRPr="004A7F6B" w:rsidRDefault="004A7F6B" w:rsidP="009D186E">
      <w:pPr>
        <w:pStyle w:val="ListParagraph"/>
        <w:numPr>
          <w:ilvl w:val="0"/>
          <w:numId w:val="12"/>
        </w:numPr>
        <w:spacing w:line="276" w:lineRule="auto"/>
        <w:rPr>
          <w:rFonts w:ascii="Mangal Pro" w:hAnsi="Mangal Pro" w:cs="Mangal Pro"/>
          <w:b/>
          <w:bCs/>
          <w:sz w:val="22"/>
          <w:szCs w:val="22"/>
        </w:rPr>
      </w:pPr>
      <w:r w:rsidRPr="004A7F6B">
        <w:rPr>
          <w:rFonts w:ascii="Mangal Pro" w:hAnsi="Mangal Pro" w:cs="Mangal Pro"/>
          <w:b/>
          <w:bCs/>
          <w:sz w:val="22"/>
          <w:szCs w:val="22"/>
        </w:rPr>
        <w:t>NextUp &amp; Guardian Scholars</w:t>
      </w:r>
    </w:p>
    <w:p w14:paraId="6CD4A6D6" w14:textId="34CC582D" w:rsidR="00485CF4" w:rsidRPr="00151C00" w:rsidRDefault="00151C00" w:rsidP="00804381">
      <w:pPr>
        <w:pStyle w:val="ListParagraph"/>
        <w:spacing w:line="240" w:lineRule="auto"/>
        <w:rPr>
          <w:rFonts w:ascii="Mangal Pro" w:hAnsi="Mangal Pro" w:cs="Mangal Pro"/>
          <w:sz w:val="22"/>
          <w:szCs w:val="22"/>
        </w:rPr>
      </w:pPr>
      <w:r>
        <w:rPr>
          <w:rFonts w:ascii="Mangal Pro" w:hAnsi="Mangal Pro" w:cs="Mangal Pro"/>
          <w:sz w:val="22"/>
          <w:szCs w:val="22"/>
        </w:rPr>
        <w:t xml:space="preserve">NextUp and Guardian Scholars are programs designed and dedicated to providing targeted support to disproportionately impacted students who are also current or former foster youth enrolled at or planning to enroll at SBVC. Like other student support programs, the focus is to promote equitable </w:t>
      </w:r>
      <w:proofErr w:type="spellStart"/>
      <w:r>
        <w:rPr>
          <w:rFonts w:ascii="Mangal Pro" w:hAnsi="Mangal Pro" w:cs="Mangal Pro"/>
          <w:sz w:val="22"/>
          <w:szCs w:val="22"/>
        </w:rPr>
        <w:t>acces</w:t>
      </w:r>
      <w:proofErr w:type="spellEnd"/>
      <w:r>
        <w:rPr>
          <w:rFonts w:ascii="Mangal Pro" w:hAnsi="Mangal Pro" w:cs="Mangal Pro"/>
          <w:sz w:val="22"/>
          <w:szCs w:val="22"/>
        </w:rPr>
        <w:t xml:space="preserve">, persistence, and completion. Key strategies </w:t>
      </w:r>
      <w:r w:rsidR="00875960">
        <w:rPr>
          <w:rFonts w:ascii="Mangal Pro" w:hAnsi="Mangal Pro" w:cs="Mangal Pro"/>
          <w:sz w:val="22"/>
          <w:szCs w:val="22"/>
        </w:rPr>
        <w:t>are but not limited to:</w:t>
      </w:r>
      <w:r>
        <w:rPr>
          <w:rFonts w:ascii="Mangal Pro" w:hAnsi="Mangal Pro" w:cs="Mangal Pro"/>
          <w:sz w:val="22"/>
          <w:szCs w:val="22"/>
        </w:rPr>
        <w:t xml:space="preserve"> </w:t>
      </w:r>
    </w:p>
    <w:p w14:paraId="6AA2FC2D" w14:textId="54E97E98" w:rsidR="007F735B" w:rsidRPr="006C1754" w:rsidRDefault="00F549BD" w:rsidP="00804381">
      <w:pPr>
        <w:pStyle w:val="ListParagraph"/>
        <w:numPr>
          <w:ilvl w:val="1"/>
          <w:numId w:val="12"/>
        </w:numPr>
        <w:spacing w:line="240" w:lineRule="auto"/>
        <w:rPr>
          <w:rFonts w:ascii="Mangal Pro" w:hAnsi="Mangal Pro" w:cs="Mangal Pro"/>
          <w:b/>
          <w:bCs/>
          <w:sz w:val="22"/>
          <w:szCs w:val="22"/>
        </w:rPr>
      </w:pPr>
      <w:r w:rsidRPr="006C1754">
        <w:rPr>
          <w:rFonts w:ascii="Mangal Pro" w:hAnsi="Mangal Pro" w:cs="Mangal Pro"/>
          <w:b/>
          <w:bCs/>
          <w:sz w:val="22"/>
          <w:szCs w:val="22"/>
        </w:rPr>
        <w:t>Proactive Outreach and Early Connection</w:t>
      </w:r>
    </w:p>
    <w:p w14:paraId="6B11935B" w14:textId="69AA334B" w:rsidR="0070577D" w:rsidRDefault="0070577D" w:rsidP="00804381">
      <w:pPr>
        <w:pStyle w:val="ListParagraph"/>
        <w:numPr>
          <w:ilvl w:val="0"/>
          <w:numId w:val="27"/>
        </w:numPr>
        <w:spacing w:line="240" w:lineRule="auto"/>
        <w:rPr>
          <w:rFonts w:ascii="Mangal Pro" w:hAnsi="Mangal Pro" w:cs="Mangal Pro"/>
          <w:sz w:val="22"/>
          <w:szCs w:val="22"/>
        </w:rPr>
      </w:pPr>
      <w:r>
        <w:rPr>
          <w:rFonts w:ascii="Mangal Pro" w:hAnsi="Mangal Pro" w:cs="Mangal Pro"/>
          <w:sz w:val="22"/>
          <w:szCs w:val="22"/>
        </w:rPr>
        <w:t>Identify and engage foster youth early, including those from underrepresented communities, to connect them with essential NextUp services and resources tailored to their unique needs.</w:t>
      </w:r>
    </w:p>
    <w:p w14:paraId="079A8D83" w14:textId="585CFBF1" w:rsidR="00714A0B" w:rsidRDefault="00714A0B" w:rsidP="00804381">
      <w:pPr>
        <w:pStyle w:val="ListParagraph"/>
        <w:numPr>
          <w:ilvl w:val="0"/>
          <w:numId w:val="27"/>
        </w:numPr>
        <w:spacing w:line="240" w:lineRule="auto"/>
        <w:rPr>
          <w:rFonts w:ascii="Mangal Pro" w:hAnsi="Mangal Pro" w:cs="Mangal Pro"/>
          <w:sz w:val="22"/>
          <w:szCs w:val="22"/>
        </w:rPr>
      </w:pPr>
      <w:r>
        <w:rPr>
          <w:rFonts w:ascii="Mangal Pro" w:hAnsi="Mangal Pro" w:cs="Mangal Pro"/>
          <w:sz w:val="22"/>
          <w:szCs w:val="22"/>
        </w:rPr>
        <w:t xml:space="preserve">Collaborate with service-area K-12 districts, community partners such as San Bernardino County Superintendent of Schools (SBCSS), the County’s Children </w:t>
      </w:r>
      <w:r>
        <w:rPr>
          <w:rFonts w:ascii="Mangal Pro" w:hAnsi="Mangal Pro" w:cs="Mangal Pro"/>
          <w:sz w:val="22"/>
          <w:szCs w:val="22"/>
        </w:rPr>
        <w:lastRenderedPageBreak/>
        <w:t xml:space="preserve">and Family Services (CFS), and Giveback Academy as well as the various on-campus departments to ensure timely access to enrollment, financial aid, and academic support services. </w:t>
      </w:r>
    </w:p>
    <w:p w14:paraId="5CB05A4E" w14:textId="11B9E9E9" w:rsidR="00480301" w:rsidRPr="00480301" w:rsidRDefault="006C1754" w:rsidP="00804381">
      <w:pPr>
        <w:pStyle w:val="ListParagraph"/>
        <w:numPr>
          <w:ilvl w:val="1"/>
          <w:numId w:val="12"/>
        </w:numPr>
        <w:spacing w:line="240" w:lineRule="auto"/>
        <w:rPr>
          <w:rFonts w:ascii="Mangal Pro" w:hAnsi="Mangal Pro" w:cs="Mangal Pro"/>
          <w:sz w:val="22"/>
          <w:szCs w:val="22"/>
        </w:rPr>
      </w:pPr>
      <w:r w:rsidRPr="006C1754">
        <w:rPr>
          <w:rFonts w:ascii="Mangal Pro" w:hAnsi="Mangal Pro" w:cs="Mangal Pro"/>
          <w:b/>
          <w:bCs/>
          <w:sz w:val="22"/>
          <w:szCs w:val="22"/>
        </w:rPr>
        <w:t>Foster Youth Advisory Council (FYAC) Initiative</w:t>
      </w:r>
      <w:r w:rsidR="000A4BA0">
        <w:rPr>
          <w:rFonts w:ascii="Mangal Pro" w:hAnsi="Mangal Pro" w:cs="Mangal Pro"/>
          <w:b/>
          <w:bCs/>
          <w:sz w:val="22"/>
          <w:szCs w:val="22"/>
        </w:rPr>
        <w:t xml:space="preserve">: </w:t>
      </w:r>
      <w:r w:rsidR="00480301" w:rsidRPr="00480301">
        <w:rPr>
          <w:rFonts w:ascii="Mangal Pro" w:hAnsi="Mangal Pro" w:cs="Mangal Pro"/>
          <w:sz w:val="22"/>
          <w:szCs w:val="22"/>
        </w:rPr>
        <w:t xml:space="preserve">In partnership with SBCSS, the NextUp and Guardian Scholars Program are working with Eisenhower High School in the Rialto Unified School </w:t>
      </w:r>
      <w:r w:rsidR="00480301">
        <w:rPr>
          <w:rFonts w:ascii="Mangal Pro" w:hAnsi="Mangal Pro" w:cs="Mangal Pro"/>
          <w:sz w:val="22"/>
          <w:szCs w:val="22"/>
        </w:rPr>
        <w:t xml:space="preserve">District </w:t>
      </w:r>
      <w:r w:rsidR="00480301" w:rsidRPr="00480301">
        <w:rPr>
          <w:rFonts w:ascii="Mangal Pro" w:hAnsi="Mangal Pro" w:cs="Mangal Pro"/>
          <w:sz w:val="22"/>
          <w:szCs w:val="22"/>
        </w:rPr>
        <w:t xml:space="preserve">to roll out </w:t>
      </w:r>
      <w:r w:rsidR="0025568D">
        <w:rPr>
          <w:rFonts w:ascii="Mangal Pro" w:hAnsi="Mangal Pro" w:cs="Mangal Pro"/>
          <w:sz w:val="22"/>
          <w:szCs w:val="22"/>
        </w:rPr>
        <w:t>the FYAC Initiative du</w:t>
      </w:r>
      <w:r w:rsidR="00480301" w:rsidRPr="00480301">
        <w:rPr>
          <w:rFonts w:ascii="Mangal Pro" w:hAnsi="Mangal Pro" w:cs="Mangal Pro"/>
          <w:sz w:val="22"/>
          <w:szCs w:val="22"/>
        </w:rPr>
        <w:t>ring the 2025-2026 academic year. This initiative aims to enhance peer mentorship, student leadership, and engagement opportunities for foster youth students.</w:t>
      </w:r>
    </w:p>
    <w:p w14:paraId="748550DA" w14:textId="77777777" w:rsidR="00480301" w:rsidRPr="00480301" w:rsidRDefault="00480301" w:rsidP="00804381">
      <w:pPr>
        <w:pStyle w:val="ListParagraph"/>
        <w:spacing w:line="240" w:lineRule="auto"/>
        <w:ind w:left="1440"/>
        <w:rPr>
          <w:rFonts w:ascii="Mangal Pro" w:hAnsi="Mangal Pro" w:cs="Mangal Pro"/>
          <w:sz w:val="22"/>
          <w:szCs w:val="22"/>
        </w:rPr>
      </w:pPr>
      <w:r w:rsidRPr="00480301">
        <w:rPr>
          <w:rFonts w:ascii="Mangal Pro" w:hAnsi="Mangal Pro" w:cs="Mangal Pro"/>
          <w:sz w:val="22"/>
          <w:szCs w:val="22"/>
        </w:rPr>
        <w:t>Key components of this initiative include:</w:t>
      </w:r>
    </w:p>
    <w:p w14:paraId="397BB854" w14:textId="270059E1" w:rsidR="00480301" w:rsidRPr="00480301" w:rsidRDefault="00480301" w:rsidP="00804381">
      <w:pPr>
        <w:pStyle w:val="ListParagraph"/>
        <w:numPr>
          <w:ilvl w:val="1"/>
          <w:numId w:val="12"/>
        </w:numPr>
        <w:spacing w:line="240" w:lineRule="auto"/>
        <w:rPr>
          <w:rFonts w:ascii="Mangal Pro" w:hAnsi="Mangal Pro" w:cs="Mangal Pro"/>
          <w:sz w:val="22"/>
          <w:szCs w:val="22"/>
        </w:rPr>
      </w:pPr>
      <w:r w:rsidRPr="00480301">
        <w:rPr>
          <w:rFonts w:ascii="Mangal Pro" w:hAnsi="Mangal Pro" w:cs="Mangal Pro"/>
          <w:sz w:val="22"/>
          <w:szCs w:val="22"/>
        </w:rPr>
        <w:t xml:space="preserve">Leadership training provided by the </w:t>
      </w:r>
      <w:proofErr w:type="spellStart"/>
      <w:r w:rsidRPr="00480301">
        <w:rPr>
          <w:rFonts w:ascii="Mangal Pro" w:hAnsi="Mangal Pro" w:cs="Mangal Pro"/>
          <w:sz w:val="22"/>
          <w:szCs w:val="22"/>
        </w:rPr>
        <w:t>GiveBack</w:t>
      </w:r>
      <w:proofErr w:type="spellEnd"/>
      <w:r w:rsidRPr="00480301">
        <w:rPr>
          <w:rFonts w:ascii="Mangal Pro" w:hAnsi="Mangal Pro" w:cs="Mangal Pro"/>
          <w:sz w:val="22"/>
          <w:szCs w:val="22"/>
        </w:rPr>
        <w:t xml:space="preserve"> Academy.</w:t>
      </w:r>
    </w:p>
    <w:p w14:paraId="5A5B2F2D" w14:textId="77777777" w:rsidR="00480301" w:rsidRPr="00480301" w:rsidRDefault="00480301" w:rsidP="00804381">
      <w:pPr>
        <w:pStyle w:val="ListParagraph"/>
        <w:numPr>
          <w:ilvl w:val="1"/>
          <w:numId w:val="12"/>
        </w:numPr>
        <w:spacing w:line="240" w:lineRule="auto"/>
        <w:rPr>
          <w:rFonts w:ascii="Mangal Pro" w:hAnsi="Mangal Pro" w:cs="Mangal Pro"/>
          <w:sz w:val="22"/>
          <w:szCs w:val="22"/>
        </w:rPr>
      </w:pPr>
      <w:r w:rsidRPr="00480301">
        <w:rPr>
          <w:rFonts w:ascii="Mangal Pro" w:hAnsi="Mangal Pro" w:cs="Mangal Pro"/>
          <w:sz w:val="22"/>
          <w:szCs w:val="22"/>
        </w:rPr>
        <w:t>Providing stipends of $800 per semester to four selected NextUp Student Peer Mentors, who will lead FYAC meetings and mentor new and current foster youth students.</w:t>
      </w:r>
    </w:p>
    <w:p w14:paraId="772DC82E" w14:textId="77777777" w:rsidR="00480301" w:rsidRPr="00480301" w:rsidRDefault="00480301" w:rsidP="00804381">
      <w:pPr>
        <w:pStyle w:val="ListParagraph"/>
        <w:numPr>
          <w:ilvl w:val="1"/>
          <w:numId w:val="12"/>
        </w:numPr>
        <w:spacing w:line="240" w:lineRule="auto"/>
        <w:rPr>
          <w:rFonts w:ascii="Mangal Pro" w:hAnsi="Mangal Pro" w:cs="Mangal Pro"/>
          <w:sz w:val="22"/>
          <w:szCs w:val="22"/>
        </w:rPr>
      </w:pPr>
      <w:r w:rsidRPr="00480301">
        <w:rPr>
          <w:rFonts w:ascii="Mangal Pro" w:hAnsi="Mangal Pro" w:cs="Mangal Pro"/>
          <w:sz w:val="22"/>
          <w:szCs w:val="22"/>
        </w:rPr>
        <w:t>Allocating funds to purchase incentives (e.g., vendor gift cards) to encourage mentee participation in FYAC meetings and mentoring sessions.</w:t>
      </w:r>
    </w:p>
    <w:p w14:paraId="5558C015" w14:textId="530F7D2C" w:rsidR="00B435D7" w:rsidRDefault="00480301" w:rsidP="00804381">
      <w:pPr>
        <w:pStyle w:val="ListParagraph"/>
        <w:numPr>
          <w:ilvl w:val="1"/>
          <w:numId w:val="12"/>
        </w:numPr>
        <w:spacing w:line="240" w:lineRule="auto"/>
        <w:rPr>
          <w:rFonts w:ascii="Mangal Pro" w:hAnsi="Mangal Pro" w:cs="Mangal Pro"/>
          <w:sz w:val="22"/>
          <w:szCs w:val="22"/>
        </w:rPr>
      </w:pPr>
      <w:r w:rsidRPr="00480301">
        <w:rPr>
          <w:rFonts w:ascii="Mangal Pro" w:hAnsi="Mangal Pro" w:cs="Mangal Pro"/>
          <w:sz w:val="22"/>
          <w:szCs w:val="22"/>
        </w:rPr>
        <w:t>Supporting program and marketing materials to promote the initiative and enhance student leadership skills.</w:t>
      </w:r>
    </w:p>
    <w:p w14:paraId="3E57B81C" w14:textId="446FF8BB" w:rsidR="00B435D7" w:rsidRDefault="00B435D7" w:rsidP="00804381">
      <w:pPr>
        <w:pStyle w:val="ListParagraph"/>
        <w:spacing w:line="240" w:lineRule="auto"/>
        <w:rPr>
          <w:rFonts w:ascii="Mangal Pro" w:hAnsi="Mangal Pro" w:cs="Mangal Pro"/>
          <w:sz w:val="22"/>
          <w:szCs w:val="22"/>
        </w:rPr>
      </w:pPr>
      <w:r>
        <w:rPr>
          <w:rFonts w:ascii="Mangal Pro" w:hAnsi="Mangal Pro" w:cs="Mangal Pro"/>
          <w:sz w:val="22"/>
          <w:szCs w:val="22"/>
        </w:rPr>
        <w:t xml:space="preserve">NextUp and Guardian Scholars support current and former foster youth, especially DI student populations at SBVC, by providing early outreach, connecting students to essential services, and collaborating with K-12 districts and community partners to ensure access to enrollment, financial aid, and academic resources. The programs are also launching the Foster </w:t>
      </w:r>
      <w:r w:rsidR="00E932AB">
        <w:rPr>
          <w:rFonts w:ascii="Mangal Pro" w:hAnsi="Mangal Pro" w:cs="Mangal Pro"/>
          <w:sz w:val="22"/>
          <w:szCs w:val="22"/>
        </w:rPr>
        <w:t xml:space="preserve">Youth Advisory Council (FYAC) with SBCSS and Eisenhower High School to strengthen peer mentorship and leadership through training, mentor stipends, participation incentives, and targeted outreach. </w:t>
      </w:r>
    </w:p>
    <w:p w14:paraId="4285BDA6" w14:textId="77777777" w:rsidR="00804381" w:rsidRPr="00B435D7" w:rsidRDefault="00804381" w:rsidP="00804381">
      <w:pPr>
        <w:pStyle w:val="ListParagraph"/>
        <w:spacing w:line="240" w:lineRule="auto"/>
        <w:rPr>
          <w:rFonts w:ascii="Mangal Pro" w:hAnsi="Mangal Pro" w:cs="Mangal Pro"/>
          <w:sz w:val="22"/>
          <w:szCs w:val="22"/>
        </w:rPr>
      </w:pPr>
    </w:p>
    <w:p w14:paraId="5A8C7258" w14:textId="764152DE" w:rsidR="005E5749" w:rsidRPr="00CA468A" w:rsidRDefault="00713882" w:rsidP="004A7F6B">
      <w:pPr>
        <w:pStyle w:val="ListParagraph"/>
        <w:numPr>
          <w:ilvl w:val="0"/>
          <w:numId w:val="4"/>
        </w:numPr>
        <w:rPr>
          <w:rFonts w:ascii="Mangal Pro" w:hAnsi="Mangal Pro" w:cs="Mangal Pro"/>
          <w:b/>
          <w:bCs/>
          <w:sz w:val="22"/>
          <w:szCs w:val="22"/>
        </w:rPr>
      </w:pPr>
      <w:bookmarkStart w:id="1" w:name="_Hlk213867027"/>
      <w:r w:rsidRPr="00CA468A">
        <w:rPr>
          <w:rFonts w:ascii="Mangal Pro" w:hAnsi="Mangal Pro" w:cs="Mangal Pro"/>
          <w:b/>
          <w:bCs/>
          <w:sz w:val="22"/>
          <w:szCs w:val="22"/>
        </w:rPr>
        <w:t>Veterans Resource Center</w:t>
      </w:r>
      <w:r w:rsidR="005E5749" w:rsidRPr="00CA468A">
        <w:rPr>
          <w:rFonts w:ascii="Mangal Pro" w:hAnsi="Mangal Pro" w:cs="Mangal Pro"/>
          <w:b/>
          <w:bCs/>
          <w:sz w:val="22"/>
          <w:szCs w:val="22"/>
        </w:rPr>
        <w:t xml:space="preserve"> </w:t>
      </w:r>
    </w:p>
    <w:p w14:paraId="590B711C" w14:textId="2B5BD6F9" w:rsidR="005E5749" w:rsidRDefault="00713882" w:rsidP="00804381">
      <w:pPr>
        <w:spacing w:line="240" w:lineRule="auto"/>
        <w:rPr>
          <w:rFonts w:ascii="Mangal Pro" w:hAnsi="Mangal Pro" w:cs="Mangal Pro"/>
          <w:sz w:val="22"/>
          <w:szCs w:val="22"/>
        </w:rPr>
      </w:pPr>
      <w:r>
        <w:rPr>
          <w:rFonts w:ascii="Mangal Pro" w:hAnsi="Mangal Pro" w:cs="Mangal Pro"/>
          <w:sz w:val="22"/>
          <w:szCs w:val="22"/>
        </w:rPr>
        <w:t xml:space="preserve">The Veterans Resource Center is </w:t>
      </w:r>
      <w:r w:rsidR="005E5749">
        <w:rPr>
          <w:rFonts w:ascii="Mangal Pro" w:hAnsi="Mangal Pro" w:cs="Mangal Pro"/>
          <w:sz w:val="22"/>
          <w:szCs w:val="22"/>
        </w:rPr>
        <w:t>committed to removing barriers and promoting equitable success for disproportionately impacted students, particularly Black/African American students. Key strategies include, but are not limited to:</w:t>
      </w:r>
    </w:p>
    <w:p w14:paraId="26FF2287" w14:textId="5AC1EFFB" w:rsidR="005E5749" w:rsidRPr="005031A2" w:rsidRDefault="005E5749" w:rsidP="00804381">
      <w:pPr>
        <w:pStyle w:val="ListParagraph"/>
        <w:numPr>
          <w:ilvl w:val="0"/>
          <w:numId w:val="30"/>
        </w:numPr>
        <w:spacing w:line="240" w:lineRule="auto"/>
        <w:rPr>
          <w:rFonts w:ascii="Mangal Pro" w:hAnsi="Mangal Pro" w:cs="Mangal Pro"/>
          <w:sz w:val="22"/>
          <w:szCs w:val="22"/>
        </w:rPr>
      </w:pPr>
      <w:r w:rsidRPr="005031A2">
        <w:rPr>
          <w:rFonts w:ascii="Mangal Pro" w:hAnsi="Mangal Pro" w:cs="Mangal Pro"/>
          <w:sz w:val="22"/>
          <w:szCs w:val="22"/>
        </w:rPr>
        <w:t>Proactive Outreach and Early Enrollment Support</w:t>
      </w:r>
    </w:p>
    <w:p w14:paraId="24DC6957" w14:textId="484B54B5" w:rsidR="005E5749" w:rsidRPr="005031A2" w:rsidRDefault="005E5749" w:rsidP="00804381">
      <w:pPr>
        <w:pStyle w:val="ListParagraph"/>
        <w:numPr>
          <w:ilvl w:val="0"/>
          <w:numId w:val="29"/>
        </w:numPr>
        <w:spacing w:line="240" w:lineRule="auto"/>
        <w:rPr>
          <w:rFonts w:ascii="Mangal Pro" w:hAnsi="Mangal Pro" w:cs="Mangal Pro"/>
          <w:sz w:val="22"/>
          <w:szCs w:val="22"/>
        </w:rPr>
      </w:pPr>
      <w:r w:rsidRPr="005031A2">
        <w:rPr>
          <w:rFonts w:ascii="Mangal Pro" w:hAnsi="Mangal Pro" w:cs="Mangal Pro"/>
          <w:sz w:val="22"/>
          <w:szCs w:val="22"/>
        </w:rPr>
        <w:lastRenderedPageBreak/>
        <w:t>Conduct targeted outreach to identify eligible students early, including those from underrepresented communities</w:t>
      </w:r>
      <w:r w:rsidR="00713882" w:rsidRPr="005031A2">
        <w:rPr>
          <w:rFonts w:ascii="Mangal Pro" w:hAnsi="Mangal Pro" w:cs="Mangal Pro"/>
          <w:sz w:val="22"/>
          <w:szCs w:val="22"/>
        </w:rPr>
        <w:t>,</w:t>
      </w:r>
      <w:r w:rsidRPr="005031A2">
        <w:rPr>
          <w:rFonts w:ascii="Mangal Pro" w:hAnsi="Mangal Pro" w:cs="Mangal Pro"/>
          <w:sz w:val="22"/>
          <w:szCs w:val="22"/>
        </w:rPr>
        <w:t xml:space="preserve"> to maximize program participation. </w:t>
      </w:r>
    </w:p>
    <w:p w14:paraId="36C1EF58" w14:textId="0826F511" w:rsidR="005E5749" w:rsidRPr="005031A2" w:rsidRDefault="005E5749" w:rsidP="00804381">
      <w:pPr>
        <w:pStyle w:val="ListParagraph"/>
        <w:numPr>
          <w:ilvl w:val="0"/>
          <w:numId w:val="29"/>
        </w:numPr>
        <w:spacing w:line="240" w:lineRule="auto"/>
        <w:rPr>
          <w:rFonts w:ascii="Mangal Pro" w:hAnsi="Mangal Pro" w:cs="Mangal Pro"/>
          <w:sz w:val="22"/>
          <w:szCs w:val="22"/>
        </w:rPr>
      </w:pPr>
      <w:r w:rsidRPr="005031A2">
        <w:rPr>
          <w:rFonts w:ascii="Mangal Pro" w:hAnsi="Mangal Pro" w:cs="Mangal Pro"/>
          <w:sz w:val="22"/>
          <w:szCs w:val="22"/>
        </w:rPr>
        <w:t xml:space="preserve">Assist students with application completion, financial aid coordination, and enrollment support, ensuring early connection to resources. </w:t>
      </w:r>
    </w:p>
    <w:p w14:paraId="369997BF" w14:textId="77777777" w:rsidR="005031A2" w:rsidRDefault="005031A2" w:rsidP="00804381">
      <w:pPr>
        <w:pStyle w:val="ListParagraph"/>
        <w:spacing w:line="240" w:lineRule="auto"/>
        <w:ind w:left="1080"/>
        <w:rPr>
          <w:rFonts w:ascii="Mangal Pro" w:hAnsi="Mangal Pro" w:cs="Mangal Pro"/>
          <w:sz w:val="22"/>
          <w:szCs w:val="22"/>
        </w:rPr>
      </w:pPr>
    </w:p>
    <w:p w14:paraId="4907DA69" w14:textId="4B8BD539" w:rsidR="005E5749" w:rsidRPr="005031A2" w:rsidRDefault="005E5749" w:rsidP="00804381">
      <w:pPr>
        <w:pStyle w:val="ListParagraph"/>
        <w:numPr>
          <w:ilvl w:val="0"/>
          <w:numId w:val="30"/>
        </w:numPr>
        <w:spacing w:line="240" w:lineRule="auto"/>
        <w:rPr>
          <w:rFonts w:ascii="Mangal Pro" w:hAnsi="Mangal Pro" w:cs="Mangal Pro"/>
          <w:sz w:val="22"/>
          <w:szCs w:val="22"/>
        </w:rPr>
      </w:pPr>
      <w:r w:rsidRPr="005031A2">
        <w:rPr>
          <w:rFonts w:ascii="Mangal Pro" w:hAnsi="Mangal Pro" w:cs="Mangal Pro"/>
          <w:sz w:val="22"/>
          <w:szCs w:val="22"/>
        </w:rPr>
        <w:t>Integration with Equity Initiatives</w:t>
      </w:r>
    </w:p>
    <w:p w14:paraId="4D52C702" w14:textId="5D27F9B2" w:rsidR="005E5749" w:rsidRPr="00CC3016" w:rsidRDefault="005E5749" w:rsidP="00804381">
      <w:pPr>
        <w:pStyle w:val="ListParagraph"/>
        <w:numPr>
          <w:ilvl w:val="0"/>
          <w:numId w:val="31"/>
        </w:numPr>
        <w:spacing w:line="240" w:lineRule="auto"/>
        <w:rPr>
          <w:rFonts w:ascii="Mangal Pro" w:hAnsi="Mangal Pro" w:cs="Mangal Pro"/>
          <w:sz w:val="22"/>
          <w:szCs w:val="22"/>
        </w:rPr>
      </w:pPr>
      <w:r w:rsidRPr="00CC3016">
        <w:rPr>
          <w:rFonts w:ascii="Mangal Pro" w:hAnsi="Mangal Pro" w:cs="Mangal Pro"/>
          <w:sz w:val="22"/>
          <w:szCs w:val="22"/>
        </w:rPr>
        <w:t>Collaborate with Guided Pathways, Umoja Tumaini, Puente, and First Year Experience programs to provide culturally relevant academic and mentoring support.</w:t>
      </w:r>
    </w:p>
    <w:p w14:paraId="7BA981E6" w14:textId="588BB83A" w:rsidR="005E5749" w:rsidRPr="00CC3016" w:rsidRDefault="005E5749" w:rsidP="00804381">
      <w:pPr>
        <w:pStyle w:val="ListParagraph"/>
        <w:numPr>
          <w:ilvl w:val="0"/>
          <w:numId w:val="31"/>
        </w:numPr>
        <w:spacing w:line="240" w:lineRule="auto"/>
        <w:rPr>
          <w:rFonts w:ascii="Mangal Pro" w:hAnsi="Mangal Pro" w:cs="Mangal Pro"/>
          <w:sz w:val="22"/>
          <w:szCs w:val="22"/>
        </w:rPr>
      </w:pPr>
      <w:r w:rsidRPr="00CC3016">
        <w:rPr>
          <w:rFonts w:ascii="Mangal Pro" w:hAnsi="Mangal Pro" w:cs="Mangal Pro"/>
          <w:sz w:val="22"/>
          <w:szCs w:val="22"/>
        </w:rPr>
        <w:t xml:space="preserve">Use data-driven tracking to monitor student progress, identify at-risk students, and intervene early to prevent stop-outs. </w:t>
      </w:r>
    </w:p>
    <w:p w14:paraId="30E93D28" w14:textId="77777777" w:rsidR="005E5749" w:rsidRDefault="005E5749" w:rsidP="00804381">
      <w:pPr>
        <w:pStyle w:val="ListParagraph"/>
        <w:numPr>
          <w:ilvl w:val="0"/>
          <w:numId w:val="31"/>
        </w:numPr>
        <w:spacing w:line="240" w:lineRule="auto"/>
        <w:rPr>
          <w:rFonts w:ascii="Mangal Pro" w:hAnsi="Mangal Pro" w:cs="Mangal Pro"/>
          <w:sz w:val="22"/>
          <w:szCs w:val="22"/>
        </w:rPr>
      </w:pPr>
      <w:r>
        <w:rPr>
          <w:rFonts w:ascii="Mangal Pro" w:hAnsi="Mangal Pro" w:cs="Mangal Pro"/>
          <w:sz w:val="22"/>
          <w:szCs w:val="22"/>
        </w:rPr>
        <w:t>Track and report outcomes for enrollment, persistence, degree/certificate completion, and transfer for Black/African American and Hispanic/Latine students, in particular.</w:t>
      </w:r>
    </w:p>
    <w:p w14:paraId="7EDBF0E2" w14:textId="3EC827B6" w:rsidR="005E5749" w:rsidRDefault="00CC3016" w:rsidP="00804381">
      <w:pPr>
        <w:spacing w:line="240" w:lineRule="auto"/>
        <w:rPr>
          <w:rFonts w:ascii="Mangal Pro" w:hAnsi="Mangal Pro" w:cs="Mangal Pro"/>
          <w:sz w:val="22"/>
          <w:szCs w:val="22"/>
        </w:rPr>
      </w:pPr>
      <w:r>
        <w:rPr>
          <w:rFonts w:ascii="Mangal Pro" w:hAnsi="Mangal Pro" w:cs="Mangal Pro"/>
          <w:sz w:val="22"/>
          <w:szCs w:val="22"/>
        </w:rPr>
        <w:t>The Veteran’s Resource Center</w:t>
      </w:r>
      <w:r w:rsidR="005E5749">
        <w:rPr>
          <w:rFonts w:ascii="Mangal Pro" w:hAnsi="Mangal Pro" w:cs="Mangal Pro"/>
          <w:sz w:val="22"/>
          <w:szCs w:val="22"/>
        </w:rPr>
        <w:t xml:space="preserve"> will ensure that Black/African American and Hispanic/Latine students receive targeted academic, financial, and personal support to overcome </w:t>
      </w:r>
      <w:r>
        <w:rPr>
          <w:rFonts w:ascii="Mangal Pro" w:hAnsi="Mangal Pro" w:cs="Mangal Pro"/>
          <w:sz w:val="22"/>
          <w:szCs w:val="22"/>
        </w:rPr>
        <w:t>systemic</w:t>
      </w:r>
      <w:r w:rsidR="005E5749">
        <w:rPr>
          <w:rFonts w:ascii="Mangal Pro" w:hAnsi="Mangal Pro" w:cs="Mangal Pro"/>
          <w:sz w:val="22"/>
          <w:szCs w:val="22"/>
        </w:rPr>
        <w:t xml:space="preserve"> barriers, persist in their education, and achieve their academic and career goals. </w:t>
      </w:r>
    </w:p>
    <w:bookmarkEnd w:id="1"/>
    <w:p w14:paraId="5CBC4752" w14:textId="58A1A87F" w:rsidR="003C0B6D" w:rsidRPr="004A7F6B" w:rsidRDefault="00CF082A" w:rsidP="004A7F6B">
      <w:pPr>
        <w:pStyle w:val="ListParagraph"/>
        <w:numPr>
          <w:ilvl w:val="0"/>
          <w:numId w:val="4"/>
        </w:numPr>
        <w:rPr>
          <w:rFonts w:ascii="Mangal Pro" w:hAnsi="Mangal Pro" w:cs="Mangal Pro"/>
          <w:b/>
          <w:bCs/>
          <w:sz w:val="22"/>
          <w:szCs w:val="22"/>
        </w:rPr>
      </w:pPr>
      <w:r w:rsidRPr="004A7F6B">
        <w:rPr>
          <w:rFonts w:ascii="Mangal Pro" w:hAnsi="Mangal Pro" w:cs="Mangal Pro"/>
          <w:b/>
          <w:bCs/>
          <w:sz w:val="22"/>
          <w:szCs w:val="22"/>
        </w:rPr>
        <w:t>Justice Involved/Justice Impacted Students</w:t>
      </w:r>
    </w:p>
    <w:p w14:paraId="3E08F380" w14:textId="2F188358" w:rsidR="003C0B6D" w:rsidRDefault="003C0B6D" w:rsidP="00804381">
      <w:pPr>
        <w:spacing w:line="240" w:lineRule="auto"/>
        <w:rPr>
          <w:rFonts w:ascii="Mangal Pro" w:hAnsi="Mangal Pro" w:cs="Mangal Pro"/>
          <w:sz w:val="22"/>
          <w:szCs w:val="22"/>
        </w:rPr>
      </w:pPr>
      <w:r>
        <w:rPr>
          <w:rFonts w:ascii="Mangal Pro" w:hAnsi="Mangal Pro" w:cs="Mangal Pro"/>
          <w:sz w:val="22"/>
          <w:szCs w:val="22"/>
        </w:rPr>
        <w:t>San Bernardino</w:t>
      </w:r>
      <w:r w:rsidR="00CF082A">
        <w:rPr>
          <w:rFonts w:ascii="Mangal Pro" w:hAnsi="Mangal Pro" w:cs="Mangal Pro"/>
          <w:sz w:val="22"/>
          <w:szCs w:val="22"/>
        </w:rPr>
        <w:t xml:space="preserve"> Valley College is committed to </w:t>
      </w:r>
      <w:r w:rsidR="00D94949">
        <w:rPr>
          <w:rFonts w:ascii="Mangal Pro" w:hAnsi="Mangal Pro" w:cs="Mangal Pro"/>
          <w:sz w:val="22"/>
          <w:szCs w:val="22"/>
        </w:rPr>
        <w:t>providing equitable access, support, and pathways to success for justice-involved and justice-impacted students</w:t>
      </w:r>
      <w:r>
        <w:rPr>
          <w:rFonts w:ascii="Mangal Pro" w:hAnsi="Mangal Pro" w:cs="Mangal Pro"/>
          <w:sz w:val="22"/>
          <w:szCs w:val="22"/>
        </w:rPr>
        <w:t>. Key strategies include, but are not limited to:</w:t>
      </w:r>
    </w:p>
    <w:p w14:paraId="78723FC0" w14:textId="3A6FDB18" w:rsidR="003C0B6D" w:rsidRPr="00D94949" w:rsidRDefault="003C0B6D" w:rsidP="00804381">
      <w:pPr>
        <w:pStyle w:val="ListParagraph"/>
        <w:numPr>
          <w:ilvl w:val="0"/>
          <w:numId w:val="32"/>
        </w:numPr>
        <w:spacing w:line="240" w:lineRule="auto"/>
        <w:rPr>
          <w:rFonts w:ascii="Mangal Pro" w:hAnsi="Mangal Pro" w:cs="Mangal Pro"/>
          <w:sz w:val="22"/>
          <w:szCs w:val="22"/>
        </w:rPr>
      </w:pPr>
      <w:r w:rsidRPr="00D94949">
        <w:rPr>
          <w:rFonts w:ascii="Mangal Pro" w:hAnsi="Mangal Pro" w:cs="Mangal Pro"/>
          <w:sz w:val="22"/>
          <w:szCs w:val="22"/>
        </w:rPr>
        <w:t>Proactive Outreach and Early Enrollment Support</w:t>
      </w:r>
    </w:p>
    <w:p w14:paraId="5204A92D" w14:textId="095787AA" w:rsidR="003C0B6D" w:rsidRPr="00D94949" w:rsidRDefault="003C0B6D" w:rsidP="00804381">
      <w:pPr>
        <w:pStyle w:val="ListParagraph"/>
        <w:numPr>
          <w:ilvl w:val="0"/>
          <w:numId w:val="33"/>
        </w:numPr>
        <w:spacing w:line="240" w:lineRule="auto"/>
        <w:rPr>
          <w:rFonts w:ascii="Mangal Pro" w:hAnsi="Mangal Pro" w:cs="Mangal Pro"/>
          <w:sz w:val="22"/>
          <w:szCs w:val="22"/>
        </w:rPr>
      </w:pPr>
      <w:r w:rsidRPr="00D94949">
        <w:rPr>
          <w:rFonts w:ascii="Mangal Pro" w:hAnsi="Mangal Pro" w:cs="Mangal Pro"/>
          <w:sz w:val="22"/>
          <w:szCs w:val="22"/>
        </w:rPr>
        <w:t>Conduct targeted outreach to identify eligible students early, including those from underrepresented communities, to maximize program participation.</w:t>
      </w:r>
      <w:r w:rsidR="00B06C3D">
        <w:rPr>
          <w:rFonts w:ascii="Mangal Pro" w:hAnsi="Mangal Pro" w:cs="Mangal Pro"/>
          <w:sz w:val="22"/>
          <w:szCs w:val="22"/>
        </w:rPr>
        <w:t xml:space="preserve"> These may include local correctional facilities, probation offices,</w:t>
      </w:r>
      <w:r w:rsidR="00562F18">
        <w:rPr>
          <w:rFonts w:ascii="Mangal Pro" w:hAnsi="Mangal Pro" w:cs="Mangal Pro"/>
          <w:sz w:val="22"/>
          <w:szCs w:val="22"/>
        </w:rPr>
        <w:t xml:space="preserve"> juvenile facilities,</w:t>
      </w:r>
      <w:r w:rsidR="00B06C3D">
        <w:rPr>
          <w:rFonts w:ascii="Mangal Pro" w:hAnsi="Mangal Pro" w:cs="Mangal Pro"/>
          <w:sz w:val="22"/>
          <w:szCs w:val="22"/>
        </w:rPr>
        <w:t xml:space="preserve"> and community organizations. </w:t>
      </w:r>
      <w:r w:rsidRPr="00D94949">
        <w:rPr>
          <w:rFonts w:ascii="Mangal Pro" w:hAnsi="Mangal Pro" w:cs="Mangal Pro"/>
          <w:sz w:val="22"/>
          <w:szCs w:val="22"/>
        </w:rPr>
        <w:t xml:space="preserve"> </w:t>
      </w:r>
    </w:p>
    <w:p w14:paraId="17DB0A14" w14:textId="04E50557" w:rsidR="003C0B6D" w:rsidRPr="005031A2" w:rsidRDefault="003C0B6D" w:rsidP="00804381">
      <w:pPr>
        <w:pStyle w:val="ListParagraph"/>
        <w:numPr>
          <w:ilvl w:val="0"/>
          <w:numId w:val="29"/>
        </w:numPr>
        <w:spacing w:line="240" w:lineRule="auto"/>
        <w:rPr>
          <w:rFonts w:ascii="Mangal Pro" w:hAnsi="Mangal Pro" w:cs="Mangal Pro"/>
          <w:sz w:val="22"/>
          <w:szCs w:val="22"/>
        </w:rPr>
      </w:pPr>
      <w:r w:rsidRPr="005031A2">
        <w:rPr>
          <w:rFonts w:ascii="Mangal Pro" w:hAnsi="Mangal Pro" w:cs="Mangal Pro"/>
          <w:sz w:val="22"/>
          <w:szCs w:val="22"/>
        </w:rPr>
        <w:t xml:space="preserve">Assist students with </w:t>
      </w:r>
      <w:r w:rsidR="00562F18">
        <w:rPr>
          <w:rFonts w:ascii="Mangal Pro" w:hAnsi="Mangal Pro" w:cs="Mangal Pro"/>
          <w:sz w:val="22"/>
          <w:szCs w:val="22"/>
        </w:rPr>
        <w:t xml:space="preserve">SBVC admission </w:t>
      </w:r>
      <w:r w:rsidRPr="005031A2">
        <w:rPr>
          <w:rFonts w:ascii="Mangal Pro" w:hAnsi="Mangal Pro" w:cs="Mangal Pro"/>
          <w:sz w:val="22"/>
          <w:szCs w:val="22"/>
        </w:rPr>
        <w:t xml:space="preserve">application completion, financial aid </w:t>
      </w:r>
      <w:r w:rsidR="00562F18">
        <w:rPr>
          <w:rFonts w:ascii="Mangal Pro" w:hAnsi="Mangal Pro" w:cs="Mangal Pro"/>
          <w:sz w:val="22"/>
          <w:szCs w:val="22"/>
        </w:rPr>
        <w:t>assistance</w:t>
      </w:r>
      <w:r w:rsidRPr="005031A2">
        <w:rPr>
          <w:rFonts w:ascii="Mangal Pro" w:hAnsi="Mangal Pro" w:cs="Mangal Pro"/>
          <w:sz w:val="22"/>
          <w:szCs w:val="22"/>
        </w:rPr>
        <w:t xml:space="preserve">, and enrollment support, </w:t>
      </w:r>
      <w:r w:rsidR="00562F18">
        <w:rPr>
          <w:rFonts w:ascii="Mangal Pro" w:hAnsi="Mangal Pro" w:cs="Mangal Pro"/>
          <w:sz w:val="22"/>
          <w:szCs w:val="22"/>
        </w:rPr>
        <w:t xml:space="preserve">to ensure </w:t>
      </w:r>
      <w:r w:rsidR="007370BE">
        <w:rPr>
          <w:rFonts w:ascii="Mangal Pro" w:hAnsi="Mangal Pro" w:cs="Mangal Pro"/>
          <w:sz w:val="22"/>
          <w:szCs w:val="22"/>
        </w:rPr>
        <w:t>academic counseling, transition to college, and referrals to support programs</w:t>
      </w:r>
      <w:r w:rsidRPr="005031A2">
        <w:rPr>
          <w:rFonts w:ascii="Mangal Pro" w:hAnsi="Mangal Pro" w:cs="Mangal Pro"/>
          <w:sz w:val="22"/>
          <w:szCs w:val="22"/>
        </w:rPr>
        <w:t xml:space="preserve">. </w:t>
      </w:r>
    </w:p>
    <w:p w14:paraId="491E55DD" w14:textId="77777777" w:rsidR="003C0B6D" w:rsidRDefault="003C0B6D" w:rsidP="003C0B6D">
      <w:pPr>
        <w:pStyle w:val="ListParagraph"/>
        <w:ind w:left="1080"/>
        <w:rPr>
          <w:rFonts w:ascii="Mangal Pro" w:hAnsi="Mangal Pro" w:cs="Mangal Pro"/>
          <w:sz w:val="22"/>
          <w:szCs w:val="22"/>
        </w:rPr>
      </w:pPr>
    </w:p>
    <w:p w14:paraId="2BD0ECC2" w14:textId="58330EE3" w:rsidR="003C0B6D" w:rsidRPr="00B06C3D" w:rsidRDefault="003C0B6D" w:rsidP="00A41ADB">
      <w:pPr>
        <w:pStyle w:val="ListParagraph"/>
        <w:numPr>
          <w:ilvl w:val="0"/>
          <w:numId w:val="32"/>
        </w:numPr>
        <w:rPr>
          <w:rFonts w:ascii="Mangal Pro" w:hAnsi="Mangal Pro" w:cs="Mangal Pro"/>
          <w:sz w:val="22"/>
          <w:szCs w:val="22"/>
        </w:rPr>
      </w:pPr>
      <w:r w:rsidRPr="00B06C3D">
        <w:rPr>
          <w:rFonts w:ascii="Mangal Pro" w:hAnsi="Mangal Pro" w:cs="Mangal Pro"/>
          <w:sz w:val="22"/>
          <w:szCs w:val="22"/>
        </w:rPr>
        <w:lastRenderedPageBreak/>
        <w:t>Integration with Equity Initiatives</w:t>
      </w:r>
    </w:p>
    <w:p w14:paraId="0917906B" w14:textId="02603CD0" w:rsidR="003C0B6D" w:rsidRPr="00CC3016" w:rsidRDefault="003C0B6D" w:rsidP="00804381">
      <w:pPr>
        <w:pStyle w:val="ListParagraph"/>
        <w:numPr>
          <w:ilvl w:val="0"/>
          <w:numId w:val="31"/>
        </w:numPr>
        <w:spacing w:line="240" w:lineRule="auto"/>
        <w:rPr>
          <w:rFonts w:ascii="Mangal Pro" w:hAnsi="Mangal Pro" w:cs="Mangal Pro"/>
          <w:sz w:val="22"/>
          <w:szCs w:val="22"/>
        </w:rPr>
      </w:pPr>
      <w:r w:rsidRPr="00CC3016">
        <w:rPr>
          <w:rFonts w:ascii="Mangal Pro" w:hAnsi="Mangal Pro" w:cs="Mangal Pro"/>
          <w:sz w:val="22"/>
          <w:szCs w:val="22"/>
        </w:rPr>
        <w:t xml:space="preserve">Collaborate with Guided Pathways, Umoja Tumaini, Puente, </w:t>
      </w:r>
      <w:r w:rsidR="007370BE">
        <w:rPr>
          <w:rFonts w:ascii="Mangal Pro" w:hAnsi="Mangal Pro" w:cs="Mangal Pro"/>
          <w:sz w:val="22"/>
          <w:szCs w:val="22"/>
        </w:rPr>
        <w:t xml:space="preserve">Tatayan, </w:t>
      </w:r>
      <w:r w:rsidRPr="00CC3016">
        <w:rPr>
          <w:rFonts w:ascii="Mangal Pro" w:hAnsi="Mangal Pro" w:cs="Mangal Pro"/>
          <w:sz w:val="22"/>
          <w:szCs w:val="22"/>
        </w:rPr>
        <w:t>and First Year Experience programs to provide culturally relevant academic and mentoring support.</w:t>
      </w:r>
    </w:p>
    <w:p w14:paraId="680C065A" w14:textId="77777777" w:rsidR="003C0B6D" w:rsidRPr="00CC3016" w:rsidRDefault="003C0B6D" w:rsidP="00804381">
      <w:pPr>
        <w:pStyle w:val="ListParagraph"/>
        <w:numPr>
          <w:ilvl w:val="0"/>
          <w:numId w:val="31"/>
        </w:numPr>
        <w:spacing w:line="240" w:lineRule="auto"/>
        <w:rPr>
          <w:rFonts w:ascii="Mangal Pro" w:hAnsi="Mangal Pro" w:cs="Mangal Pro"/>
          <w:sz w:val="22"/>
          <w:szCs w:val="22"/>
        </w:rPr>
      </w:pPr>
      <w:r w:rsidRPr="00CC3016">
        <w:rPr>
          <w:rFonts w:ascii="Mangal Pro" w:hAnsi="Mangal Pro" w:cs="Mangal Pro"/>
          <w:sz w:val="22"/>
          <w:szCs w:val="22"/>
        </w:rPr>
        <w:t xml:space="preserve">Use data-driven tracking to monitor student progress, identify at-risk students, and intervene early to prevent stop-outs. </w:t>
      </w:r>
    </w:p>
    <w:p w14:paraId="305C8E5A" w14:textId="77777777" w:rsidR="003C0B6D" w:rsidRDefault="003C0B6D" w:rsidP="00804381">
      <w:pPr>
        <w:pStyle w:val="ListParagraph"/>
        <w:numPr>
          <w:ilvl w:val="0"/>
          <w:numId w:val="31"/>
        </w:numPr>
        <w:spacing w:line="240" w:lineRule="auto"/>
        <w:rPr>
          <w:rFonts w:ascii="Mangal Pro" w:hAnsi="Mangal Pro" w:cs="Mangal Pro"/>
          <w:sz w:val="22"/>
          <w:szCs w:val="22"/>
        </w:rPr>
      </w:pPr>
      <w:r>
        <w:rPr>
          <w:rFonts w:ascii="Mangal Pro" w:hAnsi="Mangal Pro" w:cs="Mangal Pro"/>
          <w:sz w:val="22"/>
          <w:szCs w:val="22"/>
        </w:rPr>
        <w:t>Track and report outcomes for enrollment, persistence, degree/certificate completion, and transfer for Black/African American and Hispanic/Latine students, in particular.</w:t>
      </w:r>
    </w:p>
    <w:p w14:paraId="69CDDC7F" w14:textId="4AC14E5B" w:rsidR="003C0B6D" w:rsidRDefault="00BE29B3" w:rsidP="00804381">
      <w:pPr>
        <w:spacing w:line="240" w:lineRule="auto"/>
        <w:contextualSpacing/>
        <w:rPr>
          <w:rFonts w:ascii="Mangal Pro" w:hAnsi="Mangal Pro" w:cs="Mangal Pro"/>
          <w:sz w:val="22"/>
          <w:szCs w:val="22"/>
        </w:rPr>
      </w:pPr>
      <w:r>
        <w:rPr>
          <w:rFonts w:ascii="Mangal Pro" w:hAnsi="Mangal Pro" w:cs="Mangal Pro"/>
          <w:sz w:val="22"/>
          <w:szCs w:val="22"/>
        </w:rPr>
        <w:t xml:space="preserve">Through these strategies, SBVC removes structural barriers, fosters </w:t>
      </w:r>
      <w:r w:rsidR="007370BE">
        <w:rPr>
          <w:rFonts w:ascii="Mangal Pro" w:hAnsi="Mangal Pro" w:cs="Mangal Pro"/>
          <w:sz w:val="22"/>
          <w:szCs w:val="22"/>
        </w:rPr>
        <w:t xml:space="preserve">retention and </w:t>
      </w:r>
      <w:r>
        <w:rPr>
          <w:rFonts w:ascii="Mangal Pro" w:hAnsi="Mangal Pro" w:cs="Mangal Pro"/>
          <w:sz w:val="22"/>
          <w:szCs w:val="22"/>
        </w:rPr>
        <w:t xml:space="preserve">academic success, and ensures justice-involved and justice-impacted students have equitable opportunities to persist, complete, and transfer. </w:t>
      </w:r>
    </w:p>
    <w:p w14:paraId="21582D64" w14:textId="77777777" w:rsidR="00543239" w:rsidRDefault="00543239" w:rsidP="009D204A">
      <w:pPr>
        <w:rPr>
          <w:rFonts w:ascii="Mangal Pro" w:hAnsi="Mangal Pro" w:cs="Mangal Pro"/>
          <w:sz w:val="22"/>
          <w:szCs w:val="22"/>
        </w:rPr>
      </w:pPr>
    </w:p>
    <w:p w14:paraId="195E2B31" w14:textId="157A8C79" w:rsidR="00D319BD" w:rsidRDefault="007F7607" w:rsidP="004A7F6B">
      <w:pPr>
        <w:pStyle w:val="ListParagraph"/>
        <w:numPr>
          <w:ilvl w:val="0"/>
          <w:numId w:val="4"/>
        </w:numPr>
        <w:rPr>
          <w:rFonts w:ascii="Mangal Pro" w:hAnsi="Mangal Pro" w:cs="Mangal Pro"/>
          <w:sz w:val="22"/>
          <w:szCs w:val="22"/>
        </w:rPr>
      </w:pPr>
      <w:r>
        <w:rPr>
          <w:rFonts w:ascii="Mangal Pro" w:hAnsi="Mangal Pro" w:cs="Mangal Pro"/>
          <w:b/>
          <w:bCs/>
          <w:sz w:val="22"/>
          <w:szCs w:val="22"/>
        </w:rPr>
        <w:t xml:space="preserve">Low Income Adults </w:t>
      </w:r>
    </w:p>
    <w:p w14:paraId="6A993288" w14:textId="3B3063D0" w:rsidR="00D319BD" w:rsidRPr="00D319BD" w:rsidRDefault="00D319BD" w:rsidP="00D319BD">
      <w:pPr>
        <w:pStyle w:val="ListParagraph"/>
        <w:rPr>
          <w:rFonts w:ascii="Mangal Pro" w:hAnsi="Mangal Pro" w:cs="Mangal Pro"/>
          <w:sz w:val="22"/>
          <w:szCs w:val="22"/>
        </w:rPr>
      </w:pPr>
      <w:r>
        <w:rPr>
          <w:rFonts w:ascii="Mangal Pro" w:hAnsi="Mangal Pro" w:cs="Mangal Pro"/>
          <w:sz w:val="22"/>
          <w:szCs w:val="22"/>
        </w:rPr>
        <w:t>To expand access and improve outcomes for low-income adult learners, San Bernardino Valley College will implement intentional, equity-driven strategies that address structural barriers and foster a culture of support, flexibility, and belonging. Key strategies include:</w:t>
      </w:r>
    </w:p>
    <w:p w14:paraId="5AC6043D" w14:textId="4A71FD9A" w:rsidR="007F7607" w:rsidRPr="007F7607" w:rsidRDefault="007370BE" w:rsidP="00562F18">
      <w:pPr>
        <w:rPr>
          <w:rFonts w:ascii="Mangal Pro" w:hAnsi="Mangal Pro" w:cs="Mangal Pro"/>
          <w:sz w:val="22"/>
          <w:szCs w:val="22"/>
        </w:rPr>
      </w:pPr>
      <w:r>
        <w:rPr>
          <w:rFonts w:ascii="Mangal Pro" w:hAnsi="Mangal Pro" w:cs="Mangal Pro"/>
          <w:sz w:val="22"/>
          <w:szCs w:val="22"/>
        </w:rPr>
        <w:tab/>
        <w:t xml:space="preserve">1) </w:t>
      </w:r>
      <w:r w:rsidR="007F7607" w:rsidRPr="007F7607">
        <w:rPr>
          <w:rFonts w:ascii="Mangal Pro" w:hAnsi="Mangal Pro" w:cs="Mangal Pro"/>
          <w:sz w:val="22"/>
          <w:szCs w:val="22"/>
        </w:rPr>
        <w:t>Flexible Academic Pathways and Scheduling</w:t>
      </w:r>
    </w:p>
    <w:p w14:paraId="799D80AF" w14:textId="456E9DE9" w:rsidR="007F7607" w:rsidRPr="007F7607" w:rsidRDefault="00562F18" w:rsidP="007370BE">
      <w:pPr>
        <w:pStyle w:val="ListParagraph"/>
        <w:ind w:left="1440" w:firstLine="720"/>
        <w:rPr>
          <w:rFonts w:ascii="Mangal Pro" w:hAnsi="Mangal Pro" w:cs="Mangal Pro"/>
          <w:sz w:val="22"/>
          <w:szCs w:val="22"/>
        </w:rPr>
      </w:pPr>
      <w:r>
        <w:rPr>
          <w:rFonts w:ascii="Mangal Pro" w:hAnsi="Mangal Pro" w:cs="Mangal Pro"/>
          <w:sz w:val="22"/>
          <w:szCs w:val="22"/>
        </w:rPr>
        <w:t xml:space="preserve">a) </w:t>
      </w:r>
      <w:r w:rsidR="007F7607" w:rsidRPr="007F7607">
        <w:rPr>
          <w:rFonts w:ascii="Mangal Pro" w:hAnsi="Mangal Pro" w:cs="Mangal Pro"/>
          <w:sz w:val="22"/>
          <w:szCs w:val="22"/>
        </w:rPr>
        <w:t>Increase access to short-term certificates, hybrid, and online course offerings to accommodate working adults and caregivers.</w:t>
      </w:r>
    </w:p>
    <w:p w14:paraId="2A5EA253" w14:textId="1DA86BB9" w:rsidR="007F7607" w:rsidRPr="007F7607" w:rsidRDefault="00562F18" w:rsidP="007370BE">
      <w:pPr>
        <w:pStyle w:val="ListParagraph"/>
        <w:ind w:left="1440" w:firstLine="720"/>
        <w:rPr>
          <w:rFonts w:ascii="Mangal Pro" w:hAnsi="Mangal Pro" w:cs="Mangal Pro"/>
          <w:sz w:val="22"/>
          <w:szCs w:val="22"/>
        </w:rPr>
      </w:pPr>
      <w:r>
        <w:rPr>
          <w:rFonts w:ascii="Mangal Pro" w:hAnsi="Mangal Pro" w:cs="Mangal Pro"/>
          <w:sz w:val="22"/>
          <w:szCs w:val="22"/>
        </w:rPr>
        <w:t xml:space="preserve">b) </w:t>
      </w:r>
      <w:r w:rsidR="007F7607" w:rsidRPr="007F7607">
        <w:rPr>
          <w:rFonts w:ascii="Mangal Pro" w:hAnsi="Mangal Pro" w:cs="Mangal Pro"/>
          <w:sz w:val="22"/>
          <w:szCs w:val="22"/>
        </w:rPr>
        <w:t>Expand evening, weekend, and accelerated course options to promote degree and certificate completion.</w:t>
      </w:r>
    </w:p>
    <w:p w14:paraId="33C39D16" w14:textId="7E990762" w:rsidR="007F7607" w:rsidRPr="00562F18" w:rsidRDefault="007370BE" w:rsidP="00562F18">
      <w:pPr>
        <w:rPr>
          <w:rFonts w:ascii="Mangal Pro" w:hAnsi="Mangal Pro" w:cs="Mangal Pro"/>
          <w:sz w:val="22"/>
          <w:szCs w:val="22"/>
        </w:rPr>
      </w:pPr>
      <w:r>
        <w:rPr>
          <w:rFonts w:ascii="Mangal Pro" w:hAnsi="Mangal Pro" w:cs="Mangal Pro"/>
          <w:sz w:val="22"/>
          <w:szCs w:val="22"/>
        </w:rPr>
        <w:tab/>
        <w:t xml:space="preserve">2) </w:t>
      </w:r>
      <w:r w:rsidR="007F7607" w:rsidRPr="00562F18">
        <w:rPr>
          <w:rFonts w:ascii="Mangal Pro" w:hAnsi="Mangal Pro" w:cs="Mangal Pro"/>
          <w:sz w:val="22"/>
          <w:szCs w:val="22"/>
        </w:rPr>
        <w:t>Strengthened Financial and Basic Needs Support</w:t>
      </w:r>
    </w:p>
    <w:p w14:paraId="726E18CD" w14:textId="4F3FF160" w:rsidR="007F7607" w:rsidRPr="007F7607" w:rsidRDefault="00562F18" w:rsidP="001C7645">
      <w:pPr>
        <w:pStyle w:val="ListParagraph"/>
        <w:spacing w:line="240" w:lineRule="auto"/>
        <w:ind w:left="1440" w:firstLine="720"/>
        <w:rPr>
          <w:rFonts w:ascii="Mangal Pro" w:hAnsi="Mangal Pro" w:cs="Mangal Pro"/>
          <w:sz w:val="22"/>
          <w:szCs w:val="22"/>
        </w:rPr>
      </w:pPr>
      <w:r>
        <w:rPr>
          <w:rFonts w:ascii="Mangal Pro" w:hAnsi="Mangal Pro" w:cs="Mangal Pro"/>
          <w:sz w:val="22"/>
          <w:szCs w:val="22"/>
        </w:rPr>
        <w:t xml:space="preserve">a) </w:t>
      </w:r>
      <w:r w:rsidR="007F7607" w:rsidRPr="007F7607">
        <w:rPr>
          <w:rFonts w:ascii="Mangal Pro" w:hAnsi="Mangal Pro" w:cs="Mangal Pro"/>
          <w:sz w:val="22"/>
          <w:szCs w:val="22"/>
        </w:rPr>
        <w:t>Expand outreach and support for financial aid, including FAFSA/CADAA workshops and personalized assistance to increase participation among adult learners.</w:t>
      </w:r>
    </w:p>
    <w:p w14:paraId="7BF7F741" w14:textId="1ED15BC6" w:rsidR="007F7607" w:rsidRPr="007F7607" w:rsidRDefault="00562F18" w:rsidP="001C7645">
      <w:pPr>
        <w:pStyle w:val="ListParagraph"/>
        <w:spacing w:line="240" w:lineRule="auto"/>
        <w:ind w:left="1440" w:firstLine="720"/>
        <w:rPr>
          <w:rFonts w:ascii="Mangal Pro" w:hAnsi="Mangal Pro" w:cs="Mangal Pro"/>
          <w:sz w:val="22"/>
          <w:szCs w:val="22"/>
        </w:rPr>
      </w:pPr>
      <w:r>
        <w:rPr>
          <w:rFonts w:ascii="Mangal Pro" w:hAnsi="Mangal Pro" w:cs="Mangal Pro"/>
          <w:sz w:val="22"/>
          <w:szCs w:val="22"/>
        </w:rPr>
        <w:lastRenderedPageBreak/>
        <w:t xml:space="preserve">b) </w:t>
      </w:r>
      <w:r w:rsidR="007F7607" w:rsidRPr="007F7607">
        <w:rPr>
          <w:rFonts w:ascii="Mangal Pro" w:hAnsi="Mangal Pro" w:cs="Mangal Pro"/>
          <w:sz w:val="22"/>
          <w:szCs w:val="22"/>
        </w:rPr>
        <w:t>Enhance partnerships with Basic Needs programs (food pantry, emergency grants, transportation assistance, technology loan programs) to reduce non-academic barriers to persistence.</w:t>
      </w:r>
    </w:p>
    <w:p w14:paraId="72D57225" w14:textId="7DA6AF1E" w:rsidR="007F7607" w:rsidRPr="00562F18" w:rsidRDefault="007370BE" w:rsidP="00562F18">
      <w:pPr>
        <w:rPr>
          <w:rFonts w:ascii="Mangal Pro" w:hAnsi="Mangal Pro" w:cs="Mangal Pro"/>
          <w:sz w:val="22"/>
          <w:szCs w:val="22"/>
        </w:rPr>
      </w:pPr>
      <w:r>
        <w:rPr>
          <w:rFonts w:ascii="Mangal Pro" w:hAnsi="Mangal Pro" w:cs="Mangal Pro"/>
          <w:sz w:val="22"/>
          <w:szCs w:val="22"/>
        </w:rPr>
        <w:tab/>
        <w:t xml:space="preserve">3) </w:t>
      </w:r>
      <w:r w:rsidR="007F7607" w:rsidRPr="00562F18">
        <w:rPr>
          <w:rFonts w:ascii="Mangal Pro" w:hAnsi="Mangal Pro" w:cs="Mangal Pro"/>
          <w:sz w:val="22"/>
          <w:szCs w:val="22"/>
        </w:rPr>
        <w:t>Holistic Student Support and Case Management</w:t>
      </w:r>
    </w:p>
    <w:p w14:paraId="0188E743" w14:textId="64980D4D" w:rsidR="007F7607" w:rsidRPr="007F7607" w:rsidRDefault="00562F18" w:rsidP="001C7645">
      <w:pPr>
        <w:pStyle w:val="ListParagraph"/>
        <w:spacing w:line="240" w:lineRule="auto"/>
        <w:ind w:left="1440" w:firstLine="720"/>
        <w:rPr>
          <w:rFonts w:ascii="Mangal Pro" w:hAnsi="Mangal Pro" w:cs="Mangal Pro"/>
          <w:sz w:val="22"/>
          <w:szCs w:val="22"/>
        </w:rPr>
      </w:pPr>
      <w:r>
        <w:rPr>
          <w:rFonts w:ascii="Mangal Pro" w:hAnsi="Mangal Pro" w:cs="Mangal Pro"/>
          <w:sz w:val="22"/>
          <w:szCs w:val="22"/>
        </w:rPr>
        <w:t xml:space="preserve">a) </w:t>
      </w:r>
      <w:r w:rsidR="007F7607" w:rsidRPr="007F7607">
        <w:rPr>
          <w:rFonts w:ascii="Mangal Pro" w:hAnsi="Mangal Pro" w:cs="Mangal Pro"/>
          <w:sz w:val="22"/>
          <w:szCs w:val="22"/>
        </w:rPr>
        <w:t>Develop a proactive case management model to connect adult learners with counseling, career services, tutoring, and community resources.</w:t>
      </w:r>
    </w:p>
    <w:p w14:paraId="7206B149" w14:textId="565390D4" w:rsidR="007F7607" w:rsidRPr="007F7607" w:rsidRDefault="00562F18" w:rsidP="001C7645">
      <w:pPr>
        <w:pStyle w:val="ListParagraph"/>
        <w:spacing w:line="240" w:lineRule="auto"/>
        <w:ind w:left="1440" w:firstLine="720"/>
        <w:rPr>
          <w:rFonts w:ascii="Mangal Pro" w:hAnsi="Mangal Pro" w:cs="Mangal Pro"/>
          <w:sz w:val="22"/>
          <w:szCs w:val="22"/>
        </w:rPr>
      </w:pPr>
      <w:r>
        <w:rPr>
          <w:rFonts w:ascii="Mangal Pro" w:hAnsi="Mangal Pro" w:cs="Mangal Pro"/>
          <w:sz w:val="22"/>
          <w:szCs w:val="22"/>
        </w:rPr>
        <w:t xml:space="preserve">b) </w:t>
      </w:r>
      <w:r w:rsidR="007F7607" w:rsidRPr="007F7607">
        <w:rPr>
          <w:rFonts w:ascii="Mangal Pro" w:hAnsi="Mangal Pro" w:cs="Mangal Pro"/>
          <w:sz w:val="22"/>
          <w:szCs w:val="22"/>
        </w:rPr>
        <w:t>Strengthen the coordination between Student Services and Workforce Development to provide wraparound academic and career support.</w:t>
      </w:r>
    </w:p>
    <w:p w14:paraId="05CC3E53" w14:textId="4B0E462B" w:rsidR="007F7607" w:rsidRDefault="00562F18" w:rsidP="00562F18">
      <w:pPr>
        <w:rPr>
          <w:rFonts w:ascii="Mangal Pro" w:hAnsi="Mangal Pro" w:cs="Mangal Pro"/>
          <w:sz w:val="22"/>
          <w:szCs w:val="22"/>
        </w:rPr>
      </w:pPr>
      <w:r>
        <w:rPr>
          <w:rFonts w:ascii="Mangal Pro" w:hAnsi="Mangal Pro" w:cs="Mangal Pro"/>
          <w:sz w:val="22"/>
          <w:szCs w:val="22"/>
        </w:rPr>
        <w:t xml:space="preserve"> </w:t>
      </w:r>
      <w:r w:rsidR="007370BE">
        <w:rPr>
          <w:rFonts w:ascii="Mangal Pro" w:hAnsi="Mangal Pro" w:cs="Mangal Pro"/>
          <w:sz w:val="22"/>
          <w:szCs w:val="22"/>
        </w:rPr>
        <w:tab/>
        <w:t xml:space="preserve">4) </w:t>
      </w:r>
      <w:r w:rsidR="007F7607" w:rsidRPr="00562F18">
        <w:rPr>
          <w:rFonts w:ascii="Mangal Pro" w:hAnsi="Mangal Pro" w:cs="Mangal Pro"/>
          <w:sz w:val="22"/>
          <w:szCs w:val="22"/>
        </w:rPr>
        <w:t>Targeted Outreach and Re-engagement</w:t>
      </w:r>
    </w:p>
    <w:p w14:paraId="1E3F92E0" w14:textId="34E5FF44" w:rsidR="00D319BD" w:rsidRDefault="00D319BD" w:rsidP="00CF3F2A">
      <w:pPr>
        <w:spacing w:line="240" w:lineRule="auto"/>
        <w:contextualSpacing/>
        <w:rPr>
          <w:rFonts w:ascii="Mangal Pro" w:hAnsi="Mangal Pro" w:cs="Mangal Pro"/>
          <w:sz w:val="22"/>
          <w:szCs w:val="22"/>
        </w:rPr>
      </w:pPr>
      <w:r>
        <w:rPr>
          <w:rFonts w:ascii="Mangal Pro" w:hAnsi="Mangal Pro" w:cs="Mangal Pro"/>
          <w:sz w:val="22"/>
          <w:szCs w:val="22"/>
        </w:rPr>
        <w:tab/>
      </w:r>
      <w:r>
        <w:rPr>
          <w:rFonts w:ascii="Mangal Pro" w:hAnsi="Mangal Pro" w:cs="Mangal Pro"/>
          <w:sz w:val="22"/>
          <w:szCs w:val="22"/>
        </w:rPr>
        <w:tab/>
        <w:t xml:space="preserve">a) implement outreach campaigns to re-engage students with “some </w:t>
      </w:r>
      <w:r>
        <w:rPr>
          <w:rFonts w:ascii="Mangal Pro" w:hAnsi="Mangal Pro" w:cs="Mangal Pro"/>
          <w:sz w:val="22"/>
          <w:szCs w:val="22"/>
        </w:rPr>
        <w:tab/>
      </w:r>
      <w:r>
        <w:rPr>
          <w:rFonts w:ascii="Mangal Pro" w:hAnsi="Mangal Pro" w:cs="Mangal Pro"/>
          <w:sz w:val="22"/>
          <w:szCs w:val="22"/>
        </w:rPr>
        <w:tab/>
      </w:r>
      <w:r>
        <w:rPr>
          <w:rFonts w:ascii="Mangal Pro" w:hAnsi="Mangal Pro" w:cs="Mangal Pro"/>
          <w:sz w:val="22"/>
          <w:szCs w:val="22"/>
        </w:rPr>
        <w:tab/>
        <w:t xml:space="preserve">college, no degree,” leveraging data to identify and invite them back to </w:t>
      </w:r>
      <w:r>
        <w:rPr>
          <w:rFonts w:ascii="Mangal Pro" w:hAnsi="Mangal Pro" w:cs="Mangal Pro"/>
          <w:sz w:val="22"/>
          <w:szCs w:val="22"/>
        </w:rPr>
        <w:tab/>
      </w:r>
      <w:r>
        <w:rPr>
          <w:rFonts w:ascii="Mangal Pro" w:hAnsi="Mangal Pro" w:cs="Mangal Pro"/>
          <w:sz w:val="22"/>
          <w:szCs w:val="22"/>
        </w:rPr>
        <w:tab/>
      </w:r>
      <w:r>
        <w:rPr>
          <w:rFonts w:ascii="Mangal Pro" w:hAnsi="Mangal Pro" w:cs="Mangal Pro"/>
          <w:sz w:val="22"/>
          <w:szCs w:val="22"/>
        </w:rPr>
        <w:tab/>
        <w:t xml:space="preserve">complete their education. </w:t>
      </w:r>
    </w:p>
    <w:p w14:paraId="024523DD" w14:textId="3C5FADE1" w:rsidR="00D319BD" w:rsidRPr="00562F18" w:rsidRDefault="00D319BD" w:rsidP="00CF3F2A">
      <w:pPr>
        <w:spacing w:line="240" w:lineRule="auto"/>
        <w:contextualSpacing/>
        <w:rPr>
          <w:rFonts w:ascii="Mangal Pro" w:hAnsi="Mangal Pro" w:cs="Mangal Pro"/>
          <w:sz w:val="22"/>
          <w:szCs w:val="22"/>
        </w:rPr>
      </w:pPr>
      <w:r>
        <w:rPr>
          <w:rFonts w:ascii="Mangal Pro" w:hAnsi="Mangal Pro" w:cs="Mangal Pro"/>
          <w:sz w:val="22"/>
          <w:szCs w:val="22"/>
        </w:rPr>
        <w:tab/>
      </w:r>
      <w:r>
        <w:rPr>
          <w:rFonts w:ascii="Mangal Pro" w:hAnsi="Mangal Pro" w:cs="Mangal Pro"/>
          <w:sz w:val="22"/>
          <w:szCs w:val="22"/>
        </w:rPr>
        <w:tab/>
        <w:t xml:space="preserve">b) Partner with local employers, workforce agencies, and community </w:t>
      </w:r>
      <w:r>
        <w:rPr>
          <w:rFonts w:ascii="Mangal Pro" w:hAnsi="Mangal Pro" w:cs="Mangal Pro"/>
          <w:sz w:val="22"/>
          <w:szCs w:val="22"/>
        </w:rPr>
        <w:tab/>
      </w:r>
      <w:r>
        <w:rPr>
          <w:rFonts w:ascii="Mangal Pro" w:hAnsi="Mangal Pro" w:cs="Mangal Pro"/>
          <w:sz w:val="22"/>
          <w:szCs w:val="22"/>
        </w:rPr>
        <w:tab/>
      </w:r>
      <w:r>
        <w:rPr>
          <w:rFonts w:ascii="Mangal Pro" w:hAnsi="Mangal Pro" w:cs="Mangal Pro"/>
          <w:sz w:val="22"/>
          <w:szCs w:val="22"/>
        </w:rPr>
        <w:tab/>
        <w:t xml:space="preserve">organizations to increase awareness of educational opportunities for </w:t>
      </w:r>
      <w:r>
        <w:rPr>
          <w:rFonts w:ascii="Mangal Pro" w:hAnsi="Mangal Pro" w:cs="Mangal Pro"/>
          <w:sz w:val="22"/>
          <w:szCs w:val="22"/>
        </w:rPr>
        <w:tab/>
      </w:r>
      <w:r>
        <w:rPr>
          <w:rFonts w:ascii="Mangal Pro" w:hAnsi="Mangal Pro" w:cs="Mangal Pro"/>
          <w:sz w:val="22"/>
          <w:szCs w:val="22"/>
        </w:rPr>
        <w:tab/>
      </w:r>
      <w:r>
        <w:rPr>
          <w:rFonts w:ascii="Mangal Pro" w:hAnsi="Mangal Pro" w:cs="Mangal Pro"/>
          <w:sz w:val="22"/>
          <w:szCs w:val="22"/>
        </w:rPr>
        <w:tab/>
        <w:t xml:space="preserve">working adults. </w:t>
      </w:r>
    </w:p>
    <w:p w14:paraId="2CDB2CE4" w14:textId="547558D2" w:rsidR="007F7607" w:rsidRPr="00562F18" w:rsidRDefault="007370BE" w:rsidP="00562F18">
      <w:pPr>
        <w:rPr>
          <w:rFonts w:ascii="Mangal Pro" w:hAnsi="Mangal Pro" w:cs="Mangal Pro"/>
          <w:sz w:val="22"/>
          <w:szCs w:val="22"/>
        </w:rPr>
      </w:pPr>
      <w:r>
        <w:rPr>
          <w:rFonts w:ascii="Mangal Pro" w:hAnsi="Mangal Pro" w:cs="Mangal Pro"/>
          <w:sz w:val="22"/>
          <w:szCs w:val="22"/>
        </w:rPr>
        <w:tab/>
        <w:t xml:space="preserve">5. </w:t>
      </w:r>
      <w:r w:rsidR="007F7607" w:rsidRPr="00562F18">
        <w:rPr>
          <w:rFonts w:ascii="Mangal Pro" w:hAnsi="Mangal Pro" w:cs="Mangal Pro"/>
          <w:sz w:val="22"/>
          <w:szCs w:val="22"/>
        </w:rPr>
        <w:t>Professional Development and Institutional Alignment</w:t>
      </w:r>
    </w:p>
    <w:p w14:paraId="6F55E3E4" w14:textId="345607C9" w:rsidR="007F7607" w:rsidRPr="007F7607" w:rsidRDefault="00562F18" w:rsidP="00CF3F2A">
      <w:pPr>
        <w:pStyle w:val="ListParagraph"/>
        <w:spacing w:line="240" w:lineRule="auto"/>
        <w:ind w:left="1440"/>
        <w:rPr>
          <w:rFonts w:ascii="Mangal Pro" w:hAnsi="Mangal Pro" w:cs="Mangal Pro"/>
          <w:sz w:val="22"/>
          <w:szCs w:val="22"/>
        </w:rPr>
      </w:pPr>
      <w:r>
        <w:rPr>
          <w:rFonts w:ascii="Mangal Pro" w:hAnsi="Mangal Pro" w:cs="Mangal Pro"/>
          <w:sz w:val="22"/>
          <w:szCs w:val="22"/>
        </w:rPr>
        <w:t xml:space="preserve">a) </w:t>
      </w:r>
      <w:r w:rsidR="007F7607" w:rsidRPr="007F7607">
        <w:rPr>
          <w:rFonts w:ascii="Mangal Pro" w:hAnsi="Mangal Pro" w:cs="Mangal Pro"/>
          <w:sz w:val="22"/>
          <w:szCs w:val="22"/>
        </w:rPr>
        <w:t>Provide equity-focused professional development for faculty and staff on serving adult learners, trauma-informed practices, and inclusive classroom strategies.</w:t>
      </w:r>
    </w:p>
    <w:p w14:paraId="4D14A374" w14:textId="0CF36F61" w:rsidR="007F7607" w:rsidRPr="007F7607" w:rsidRDefault="00562F18" w:rsidP="00CF3F2A">
      <w:pPr>
        <w:pStyle w:val="ListParagraph"/>
        <w:spacing w:line="240" w:lineRule="auto"/>
        <w:ind w:left="1440"/>
        <w:rPr>
          <w:rFonts w:ascii="Mangal Pro" w:hAnsi="Mangal Pro" w:cs="Mangal Pro"/>
          <w:sz w:val="22"/>
          <w:szCs w:val="22"/>
        </w:rPr>
      </w:pPr>
      <w:r>
        <w:rPr>
          <w:rFonts w:ascii="Mangal Pro" w:hAnsi="Mangal Pro" w:cs="Mangal Pro"/>
          <w:sz w:val="22"/>
          <w:szCs w:val="22"/>
        </w:rPr>
        <w:t xml:space="preserve">b) </w:t>
      </w:r>
      <w:r w:rsidR="007F7607" w:rsidRPr="007F7607">
        <w:rPr>
          <w:rFonts w:ascii="Mangal Pro" w:hAnsi="Mangal Pro" w:cs="Mangal Pro"/>
          <w:sz w:val="22"/>
          <w:szCs w:val="22"/>
        </w:rPr>
        <w:t>Review institutional policies and processes</w:t>
      </w:r>
      <w:r>
        <w:rPr>
          <w:rFonts w:ascii="Mangal Pro" w:hAnsi="Mangal Pro" w:cs="Mangal Pro"/>
          <w:sz w:val="22"/>
          <w:szCs w:val="22"/>
        </w:rPr>
        <w:t xml:space="preserve">, </w:t>
      </w:r>
      <w:r w:rsidR="007F7607" w:rsidRPr="007F7607">
        <w:rPr>
          <w:rFonts w:ascii="Mangal Pro" w:hAnsi="Mangal Pro" w:cs="Mangal Pro"/>
          <w:sz w:val="22"/>
          <w:szCs w:val="22"/>
        </w:rPr>
        <w:t>such as enrollment, placement, and academic probatio</w:t>
      </w:r>
      <w:r>
        <w:rPr>
          <w:rFonts w:ascii="Mangal Pro" w:hAnsi="Mangal Pro" w:cs="Mangal Pro"/>
          <w:sz w:val="22"/>
          <w:szCs w:val="22"/>
        </w:rPr>
        <w:t xml:space="preserve">n, </w:t>
      </w:r>
      <w:r w:rsidR="007F7607" w:rsidRPr="007F7607">
        <w:rPr>
          <w:rFonts w:ascii="Mangal Pro" w:hAnsi="Mangal Pro" w:cs="Mangal Pro"/>
          <w:sz w:val="22"/>
          <w:szCs w:val="22"/>
        </w:rPr>
        <w:t>to identify and remove barriers that disproportionately affect low-income adults.</w:t>
      </w:r>
    </w:p>
    <w:p w14:paraId="2BCF7C46" w14:textId="21F4E552" w:rsidR="007F7607" w:rsidRPr="00562F18" w:rsidRDefault="007370BE" w:rsidP="00562F18">
      <w:pPr>
        <w:rPr>
          <w:rFonts w:ascii="Mangal Pro" w:hAnsi="Mangal Pro" w:cs="Mangal Pro"/>
          <w:sz w:val="22"/>
          <w:szCs w:val="22"/>
        </w:rPr>
      </w:pPr>
      <w:r>
        <w:rPr>
          <w:rFonts w:ascii="Mangal Pro" w:hAnsi="Mangal Pro" w:cs="Mangal Pro"/>
          <w:sz w:val="22"/>
          <w:szCs w:val="22"/>
        </w:rPr>
        <w:tab/>
        <w:t xml:space="preserve">6) </w:t>
      </w:r>
      <w:r w:rsidR="007F7607" w:rsidRPr="00562F18">
        <w:rPr>
          <w:rFonts w:ascii="Mangal Pro" w:hAnsi="Mangal Pro" w:cs="Mangal Pro"/>
          <w:sz w:val="22"/>
          <w:szCs w:val="22"/>
        </w:rPr>
        <w:t>Continuous Evaluation and Improvement</w:t>
      </w:r>
    </w:p>
    <w:p w14:paraId="51DF48D1" w14:textId="41EF19E3" w:rsidR="007F7607" w:rsidRPr="007F7607" w:rsidRDefault="00562F18" w:rsidP="007F7607">
      <w:pPr>
        <w:pStyle w:val="ListParagraph"/>
        <w:ind w:left="1440"/>
        <w:rPr>
          <w:rFonts w:ascii="Mangal Pro" w:hAnsi="Mangal Pro" w:cs="Mangal Pro"/>
          <w:sz w:val="22"/>
          <w:szCs w:val="22"/>
        </w:rPr>
      </w:pPr>
      <w:r>
        <w:rPr>
          <w:rFonts w:ascii="Mangal Pro" w:hAnsi="Mangal Pro" w:cs="Mangal Pro"/>
          <w:sz w:val="22"/>
          <w:szCs w:val="22"/>
        </w:rPr>
        <w:t xml:space="preserve">a) </w:t>
      </w:r>
      <w:r w:rsidR="007F7607" w:rsidRPr="007F7607">
        <w:rPr>
          <w:rFonts w:ascii="Mangal Pro" w:hAnsi="Mangal Pro" w:cs="Mangal Pro"/>
          <w:sz w:val="22"/>
          <w:szCs w:val="22"/>
        </w:rPr>
        <w:t>Use disaggregated data to monitor enrollment, retention, and completion outcomes for low-income adult learners.</w:t>
      </w:r>
    </w:p>
    <w:p w14:paraId="7DF96D63" w14:textId="724F1C0E" w:rsidR="007F7607" w:rsidRPr="007F7607" w:rsidRDefault="00562F18" w:rsidP="007F7607">
      <w:pPr>
        <w:pStyle w:val="ListParagraph"/>
        <w:ind w:left="1440"/>
        <w:rPr>
          <w:rFonts w:ascii="Mangal Pro" w:hAnsi="Mangal Pro" w:cs="Mangal Pro"/>
          <w:sz w:val="22"/>
          <w:szCs w:val="22"/>
        </w:rPr>
      </w:pPr>
      <w:r>
        <w:rPr>
          <w:rFonts w:ascii="Mangal Pro" w:hAnsi="Mangal Pro" w:cs="Mangal Pro"/>
          <w:sz w:val="22"/>
          <w:szCs w:val="22"/>
        </w:rPr>
        <w:t xml:space="preserve">b) </w:t>
      </w:r>
      <w:r w:rsidR="007F7607" w:rsidRPr="007F7607">
        <w:rPr>
          <w:rFonts w:ascii="Mangal Pro" w:hAnsi="Mangal Pro" w:cs="Mangal Pro"/>
          <w:sz w:val="22"/>
          <w:szCs w:val="22"/>
        </w:rPr>
        <w:t>Collect student feedback to guide program improvements and ensure initiatives remain responsive to adult learners’ evolving needs.</w:t>
      </w:r>
    </w:p>
    <w:p w14:paraId="30A13BEE" w14:textId="64E66BA5" w:rsidR="007F7607" w:rsidRDefault="007F7607" w:rsidP="007F7607">
      <w:pPr>
        <w:pStyle w:val="ListParagraph"/>
        <w:ind w:left="1440"/>
        <w:rPr>
          <w:rFonts w:ascii="Mangal Pro" w:hAnsi="Mangal Pro" w:cs="Mangal Pro"/>
          <w:b/>
          <w:bCs/>
          <w:sz w:val="22"/>
          <w:szCs w:val="22"/>
        </w:rPr>
      </w:pPr>
    </w:p>
    <w:p w14:paraId="04A2291A" w14:textId="0FF3BDFA" w:rsidR="00060738" w:rsidRPr="00C0661E" w:rsidRDefault="00060738" w:rsidP="00C0661E">
      <w:pPr>
        <w:pStyle w:val="ListParagraph"/>
        <w:numPr>
          <w:ilvl w:val="0"/>
          <w:numId w:val="4"/>
        </w:numPr>
        <w:rPr>
          <w:rFonts w:ascii="Mangal Pro" w:hAnsi="Mangal Pro" w:cs="Mangal Pro"/>
          <w:b/>
          <w:bCs/>
          <w:sz w:val="22"/>
          <w:szCs w:val="22"/>
        </w:rPr>
      </w:pPr>
      <w:r w:rsidRPr="00C0661E">
        <w:rPr>
          <w:rFonts w:ascii="Mangal Pro" w:hAnsi="Mangal Pro" w:cs="Mangal Pro"/>
          <w:b/>
          <w:bCs/>
          <w:sz w:val="22"/>
          <w:szCs w:val="22"/>
        </w:rPr>
        <w:t>C</w:t>
      </w:r>
      <w:r w:rsidR="007F7607" w:rsidRPr="00C0661E">
        <w:rPr>
          <w:rFonts w:ascii="Mangal Pro" w:hAnsi="Mangal Pro" w:cs="Mangal Pro"/>
          <w:b/>
          <w:bCs/>
          <w:sz w:val="22"/>
          <w:szCs w:val="22"/>
        </w:rPr>
        <w:t>redi</w:t>
      </w:r>
      <w:r w:rsidRPr="00C0661E">
        <w:rPr>
          <w:rFonts w:ascii="Mangal Pro" w:hAnsi="Mangal Pro" w:cs="Mangal Pro"/>
          <w:b/>
          <w:bCs/>
          <w:sz w:val="22"/>
          <w:szCs w:val="22"/>
        </w:rPr>
        <w:t xml:space="preserve">t for Prior Learning (CPL) </w:t>
      </w:r>
    </w:p>
    <w:p w14:paraId="5C0F86D6" w14:textId="7DADDD69" w:rsidR="00060738" w:rsidRDefault="00060738" w:rsidP="00CF3F2A">
      <w:pPr>
        <w:spacing w:line="240" w:lineRule="auto"/>
        <w:contextualSpacing/>
        <w:rPr>
          <w:rFonts w:ascii="Mangal Pro" w:hAnsi="Mangal Pro" w:cs="Mangal Pro"/>
          <w:sz w:val="22"/>
          <w:szCs w:val="22"/>
        </w:rPr>
      </w:pPr>
      <w:r>
        <w:rPr>
          <w:rFonts w:ascii="Mangal Pro" w:hAnsi="Mangal Pro" w:cs="Mangal Pro"/>
          <w:sz w:val="22"/>
          <w:szCs w:val="22"/>
        </w:rPr>
        <w:t xml:space="preserve">San Bernardino Valley College is committed to expanding equitable access, support, and pathways to success </w:t>
      </w:r>
      <w:r w:rsidR="00575A93">
        <w:rPr>
          <w:rFonts w:ascii="Mangal Pro" w:hAnsi="Mangal Pro" w:cs="Mangal Pro"/>
          <w:sz w:val="22"/>
          <w:szCs w:val="22"/>
        </w:rPr>
        <w:t>to Credit for Prior Learning (CPL)</w:t>
      </w:r>
      <w:r>
        <w:rPr>
          <w:rFonts w:ascii="Mangal Pro" w:hAnsi="Mangal Pro" w:cs="Mangal Pro"/>
          <w:sz w:val="22"/>
          <w:szCs w:val="22"/>
        </w:rPr>
        <w:t>. Key strategies include, but are not limited to:</w:t>
      </w:r>
    </w:p>
    <w:p w14:paraId="5AB4A904" w14:textId="41739722" w:rsidR="00060738" w:rsidRPr="00575A93" w:rsidRDefault="00060738" w:rsidP="00A41ADB">
      <w:pPr>
        <w:pStyle w:val="ListParagraph"/>
        <w:numPr>
          <w:ilvl w:val="0"/>
          <w:numId w:val="34"/>
        </w:numPr>
        <w:rPr>
          <w:rFonts w:ascii="Mangal Pro" w:hAnsi="Mangal Pro" w:cs="Mangal Pro"/>
          <w:sz w:val="22"/>
          <w:szCs w:val="22"/>
        </w:rPr>
      </w:pPr>
      <w:r w:rsidRPr="00575A93">
        <w:rPr>
          <w:rFonts w:ascii="Mangal Pro" w:hAnsi="Mangal Pro" w:cs="Mangal Pro"/>
          <w:sz w:val="22"/>
          <w:szCs w:val="22"/>
        </w:rPr>
        <w:t>Proactive</w:t>
      </w:r>
      <w:r w:rsidR="00575A93">
        <w:rPr>
          <w:rFonts w:ascii="Mangal Pro" w:hAnsi="Mangal Pro" w:cs="Mangal Pro"/>
          <w:sz w:val="22"/>
          <w:szCs w:val="22"/>
        </w:rPr>
        <w:t xml:space="preserve"> Awareness and</w:t>
      </w:r>
      <w:r w:rsidRPr="00575A93">
        <w:rPr>
          <w:rFonts w:ascii="Mangal Pro" w:hAnsi="Mangal Pro" w:cs="Mangal Pro"/>
          <w:sz w:val="22"/>
          <w:szCs w:val="22"/>
        </w:rPr>
        <w:t xml:space="preserve"> Outreach</w:t>
      </w:r>
      <w:r w:rsidR="00575A93">
        <w:rPr>
          <w:rFonts w:ascii="Mangal Pro" w:hAnsi="Mangal Pro" w:cs="Mangal Pro"/>
          <w:sz w:val="22"/>
          <w:szCs w:val="22"/>
        </w:rPr>
        <w:t xml:space="preserve"> for </w:t>
      </w:r>
      <w:r w:rsidRPr="00575A93">
        <w:rPr>
          <w:rFonts w:ascii="Mangal Pro" w:hAnsi="Mangal Pro" w:cs="Mangal Pro"/>
          <w:sz w:val="22"/>
          <w:szCs w:val="22"/>
        </w:rPr>
        <w:t>Early Enrollment Support</w:t>
      </w:r>
    </w:p>
    <w:p w14:paraId="5FC4E028" w14:textId="322BAE22" w:rsidR="00060738" w:rsidRPr="00562F18" w:rsidRDefault="00060738" w:rsidP="00CF3F2A">
      <w:pPr>
        <w:pStyle w:val="ListParagraph"/>
        <w:numPr>
          <w:ilvl w:val="1"/>
          <w:numId w:val="4"/>
        </w:numPr>
        <w:spacing w:line="240" w:lineRule="auto"/>
        <w:rPr>
          <w:rFonts w:ascii="Mangal Pro" w:hAnsi="Mangal Pro" w:cs="Mangal Pro"/>
          <w:sz w:val="22"/>
          <w:szCs w:val="22"/>
        </w:rPr>
      </w:pPr>
      <w:r w:rsidRPr="00562F18">
        <w:rPr>
          <w:rFonts w:ascii="Mangal Pro" w:hAnsi="Mangal Pro" w:cs="Mangal Pro"/>
          <w:sz w:val="22"/>
          <w:szCs w:val="22"/>
        </w:rPr>
        <w:t xml:space="preserve">Conduct targeted outreach to identify eligible students early, including those from underrepresented communities, to maximize program participation. </w:t>
      </w:r>
    </w:p>
    <w:p w14:paraId="1ED85957" w14:textId="742435FA" w:rsidR="00060738" w:rsidRPr="005031A2" w:rsidRDefault="00060738" w:rsidP="00F85352">
      <w:pPr>
        <w:pStyle w:val="ListParagraph"/>
        <w:numPr>
          <w:ilvl w:val="1"/>
          <w:numId w:val="4"/>
        </w:numPr>
        <w:spacing w:line="240" w:lineRule="auto"/>
        <w:rPr>
          <w:rFonts w:ascii="Mangal Pro" w:hAnsi="Mangal Pro" w:cs="Mangal Pro"/>
          <w:sz w:val="22"/>
          <w:szCs w:val="22"/>
        </w:rPr>
      </w:pPr>
      <w:r w:rsidRPr="005031A2">
        <w:rPr>
          <w:rFonts w:ascii="Mangal Pro" w:hAnsi="Mangal Pro" w:cs="Mangal Pro"/>
          <w:sz w:val="22"/>
          <w:szCs w:val="22"/>
        </w:rPr>
        <w:t xml:space="preserve">Assist students with application completion, financial aid coordination, and enrollment support, ensuring early connection to resources. </w:t>
      </w:r>
    </w:p>
    <w:p w14:paraId="6CE82D47" w14:textId="77777777" w:rsidR="00060738" w:rsidRDefault="00060738" w:rsidP="00060738">
      <w:pPr>
        <w:pStyle w:val="ListParagraph"/>
        <w:ind w:left="1080"/>
        <w:rPr>
          <w:rFonts w:ascii="Mangal Pro" w:hAnsi="Mangal Pro" w:cs="Mangal Pro"/>
          <w:sz w:val="22"/>
          <w:szCs w:val="22"/>
        </w:rPr>
      </w:pPr>
    </w:p>
    <w:p w14:paraId="46543637" w14:textId="77777777" w:rsidR="00D319BD" w:rsidRDefault="00060738" w:rsidP="00A41ADB">
      <w:pPr>
        <w:pStyle w:val="ListParagraph"/>
        <w:numPr>
          <w:ilvl w:val="0"/>
          <w:numId w:val="34"/>
        </w:numPr>
        <w:rPr>
          <w:rFonts w:ascii="Mangal Pro" w:hAnsi="Mangal Pro" w:cs="Mangal Pro"/>
          <w:sz w:val="22"/>
          <w:szCs w:val="22"/>
        </w:rPr>
      </w:pPr>
      <w:r w:rsidRPr="00B06C3D">
        <w:rPr>
          <w:rFonts w:ascii="Mangal Pro" w:hAnsi="Mangal Pro" w:cs="Mangal Pro"/>
          <w:sz w:val="22"/>
          <w:szCs w:val="22"/>
        </w:rPr>
        <w:t>Integration with Equity Initiatives</w:t>
      </w:r>
    </w:p>
    <w:p w14:paraId="3FF459B4" w14:textId="1EB835E1" w:rsidR="00D319BD" w:rsidRDefault="00D319BD" w:rsidP="00F85352">
      <w:pPr>
        <w:pStyle w:val="ListParagraph"/>
        <w:numPr>
          <w:ilvl w:val="1"/>
          <w:numId w:val="4"/>
        </w:numPr>
        <w:spacing w:line="240" w:lineRule="auto"/>
        <w:rPr>
          <w:rFonts w:ascii="Mangal Pro" w:hAnsi="Mangal Pro" w:cs="Mangal Pro"/>
          <w:sz w:val="22"/>
          <w:szCs w:val="22"/>
        </w:rPr>
      </w:pPr>
      <w:r>
        <w:rPr>
          <w:rFonts w:ascii="Mangal Pro" w:hAnsi="Mangal Pro" w:cs="Mangal Pro"/>
          <w:sz w:val="22"/>
          <w:szCs w:val="22"/>
        </w:rPr>
        <w:t>Collaborate with Guided Pathways, Umoja Tumaini, Puente, Tatayan, and First Year Experience programs to provide culturally relevant academic and mentoring support.</w:t>
      </w:r>
    </w:p>
    <w:p w14:paraId="0CA9D133" w14:textId="1388440A" w:rsidR="00D319BD" w:rsidRDefault="00D319BD" w:rsidP="00F85352">
      <w:pPr>
        <w:pStyle w:val="ListParagraph"/>
        <w:numPr>
          <w:ilvl w:val="1"/>
          <w:numId w:val="4"/>
        </w:numPr>
        <w:spacing w:line="240" w:lineRule="auto"/>
        <w:rPr>
          <w:rFonts w:ascii="Mangal Pro" w:hAnsi="Mangal Pro" w:cs="Mangal Pro"/>
          <w:sz w:val="22"/>
          <w:szCs w:val="22"/>
        </w:rPr>
      </w:pPr>
      <w:r>
        <w:rPr>
          <w:rFonts w:ascii="Mangal Pro" w:hAnsi="Mangal Pro" w:cs="Mangal Pro"/>
          <w:sz w:val="22"/>
          <w:szCs w:val="22"/>
        </w:rPr>
        <w:t>Use data-driven tracking to monitor student progress, identify at-risk students, and intervene early to prevent stop-outs.</w:t>
      </w:r>
    </w:p>
    <w:p w14:paraId="389DBC18" w14:textId="7717A71D" w:rsidR="00D319BD" w:rsidRDefault="00D319BD" w:rsidP="00F85352">
      <w:pPr>
        <w:pStyle w:val="ListParagraph"/>
        <w:numPr>
          <w:ilvl w:val="1"/>
          <w:numId w:val="4"/>
        </w:numPr>
        <w:spacing w:line="240" w:lineRule="auto"/>
        <w:rPr>
          <w:rFonts w:ascii="Mangal Pro" w:hAnsi="Mangal Pro" w:cs="Mangal Pro"/>
          <w:sz w:val="22"/>
          <w:szCs w:val="22"/>
        </w:rPr>
      </w:pPr>
      <w:r>
        <w:rPr>
          <w:rFonts w:ascii="Mangal Pro" w:hAnsi="Mangal Pro" w:cs="Mangal Pro"/>
          <w:sz w:val="22"/>
          <w:szCs w:val="22"/>
        </w:rPr>
        <w:t xml:space="preserve">Track and report outcomes for enrollment, persistence, degree/certificate completion, and transfer for Black/African American and Hispanic/Latine students. </w:t>
      </w:r>
    </w:p>
    <w:p w14:paraId="690F4DAF" w14:textId="5031E5F3" w:rsidR="00060738" w:rsidRDefault="00060738" w:rsidP="00F85352">
      <w:pPr>
        <w:spacing w:line="240" w:lineRule="auto"/>
        <w:rPr>
          <w:rFonts w:ascii="Mangal Pro" w:hAnsi="Mangal Pro" w:cs="Mangal Pro"/>
          <w:sz w:val="22"/>
          <w:szCs w:val="22"/>
        </w:rPr>
      </w:pPr>
      <w:r>
        <w:rPr>
          <w:rFonts w:ascii="Mangal Pro" w:hAnsi="Mangal Pro" w:cs="Mangal Pro"/>
          <w:sz w:val="22"/>
          <w:szCs w:val="22"/>
        </w:rPr>
        <w:t xml:space="preserve">Through these strategies, SBVC </w:t>
      </w:r>
      <w:r w:rsidR="00D74AA3">
        <w:rPr>
          <w:rFonts w:ascii="Mangal Pro" w:hAnsi="Mangal Pro" w:cs="Mangal Pro"/>
          <w:sz w:val="22"/>
          <w:szCs w:val="22"/>
        </w:rPr>
        <w:t>ensures that CPL is accessible, transparent, and leveraged as a tool to reduce barriers, promote timely</w:t>
      </w:r>
      <w:r w:rsidR="00F563A3">
        <w:rPr>
          <w:rFonts w:ascii="Mangal Pro" w:hAnsi="Mangal Pro" w:cs="Mangal Pro"/>
          <w:sz w:val="22"/>
          <w:szCs w:val="22"/>
        </w:rPr>
        <w:t xml:space="preserve"> completion, and advance equity for all students. </w:t>
      </w:r>
    </w:p>
    <w:p w14:paraId="6F79C106" w14:textId="77777777" w:rsidR="00543239" w:rsidRDefault="00543239" w:rsidP="00060738">
      <w:pPr>
        <w:rPr>
          <w:rFonts w:ascii="Mangal Pro" w:hAnsi="Mangal Pro" w:cs="Mangal Pro"/>
          <w:sz w:val="22"/>
          <w:szCs w:val="22"/>
        </w:rPr>
      </w:pPr>
    </w:p>
    <w:p w14:paraId="62301728" w14:textId="3559C230" w:rsidR="00F563A3" w:rsidRPr="00C0661E" w:rsidRDefault="00D319BD" w:rsidP="00C0661E">
      <w:pPr>
        <w:pStyle w:val="ListParagraph"/>
        <w:numPr>
          <w:ilvl w:val="0"/>
          <w:numId w:val="4"/>
        </w:numPr>
        <w:rPr>
          <w:rFonts w:ascii="Mangal Pro" w:hAnsi="Mangal Pro" w:cs="Mangal Pro"/>
          <w:b/>
          <w:bCs/>
          <w:sz w:val="22"/>
          <w:szCs w:val="22"/>
        </w:rPr>
      </w:pPr>
      <w:r w:rsidRPr="00C0661E">
        <w:rPr>
          <w:rFonts w:ascii="Mangal Pro" w:hAnsi="Mangal Pro" w:cs="Mangal Pro"/>
          <w:b/>
          <w:bCs/>
          <w:sz w:val="22"/>
          <w:szCs w:val="22"/>
        </w:rPr>
        <w:t>Dual Enrollment</w:t>
      </w:r>
    </w:p>
    <w:p w14:paraId="69F551A4" w14:textId="5003A4CF" w:rsidR="00F563A3" w:rsidRDefault="00F563A3" w:rsidP="00F85352">
      <w:pPr>
        <w:spacing w:line="240" w:lineRule="auto"/>
        <w:rPr>
          <w:rFonts w:ascii="Mangal Pro" w:hAnsi="Mangal Pro" w:cs="Mangal Pro"/>
          <w:sz w:val="22"/>
          <w:szCs w:val="22"/>
        </w:rPr>
      </w:pPr>
      <w:r>
        <w:rPr>
          <w:rFonts w:ascii="Mangal Pro" w:hAnsi="Mangal Pro" w:cs="Mangal Pro"/>
          <w:sz w:val="22"/>
          <w:szCs w:val="22"/>
        </w:rPr>
        <w:t xml:space="preserve">San Bernardino Valley College is committed to expanding equitable access, support, and pathways </w:t>
      </w:r>
      <w:r w:rsidR="00A37927">
        <w:rPr>
          <w:rFonts w:ascii="Mangal Pro" w:hAnsi="Mangal Pro" w:cs="Mangal Pro"/>
          <w:sz w:val="22"/>
          <w:szCs w:val="22"/>
        </w:rPr>
        <w:t>to high school students</w:t>
      </w:r>
      <w:r>
        <w:rPr>
          <w:rFonts w:ascii="Mangal Pro" w:hAnsi="Mangal Pro" w:cs="Mangal Pro"/>
          <w:sz w:val="22"/>
          <w:szCs w:val="22"/>
        </w:rPr>
        <w:t>. Key strategies include, but are not limited to:</w:t>
      </w:r>
    </w:p>
    <w:p w14:paraId="0349E0F1" w14:textId="3A2D4252" w:rsidR="00F563A3" w:rsidRPr="00A37927" w:rsidRDefault="00F563A3" w:rsidP="00F85352">
      <w:pPr>
        <w:pStyle w:val="ListParagraph"/>
        <w:numPr>
          <w:ilvl w:val="0"/>
          <w:numId w:val="35"/>
        </w:numPr>
        <w:spacing w:line="240" w:lineRule="auto"/>
        <w:rPr>
          <w:rFonts w:ascii="Mangal Pro" w:hAnsi="Mangal Pro" w:cs="Mangal Pro"/>
          <w:sz w:val="22"/>
          <w:szCs w:val="22"/>
        </w:rPr>
      </w:pPr>
      <w:r w:rsidRPr="00A37927">
        <w:rPr>
          <w:rFonts w:ascii="Mangal Pro" w:hAnsi="Mangal Pro" w:cs="Mangal Pro"/>
          <w:sz w:val="22"/>
          <w:szCs w:val="22"/>
        </w:rPr>
        <w:t xml:space="preserve">Proactive Outreach and </w:t>
      </w:r>
      <w:r w:rsidR="00A37927">
        <w:rPr>
          <w:rFonts w:ascii="Mangal Pro" w:hAnsi="Mangal Pro" w:cs="Mangal Pro"/>
          <w:sz w:val="22"/>
          <w:szCs w:val="22"/>
        </w:rPr>
        <w:t>Recruitment</w:t>
      </w:r>
    </w:p>
    <w:p w14:paraId="4447214B" w14:textId="2574A2CA" w:rsidR="00F563A3" w:rsidRPr="00376910" w:rsidRDefault="00F563A3" w:rsidP="00F85352">
      <w:pPr>
        <w:pStyle w:val="ListParagraph"/>
        <w:numPr>
          <w:ilvl w:val="0"/>
          <w:numId w:val="36"/>
        </w:numPr>
        <w:spacing w:line="240" w:lineRule="auto"/>
        <w:rPr>
          <w:rFonts w:ascii="Mangal Pro" w:hAnsi="Mangal Pro" w:cs="Mangal Pro"/>
          <w:sz w:val="22"/>
          <w:szCs w:val="22"/>
        </w:rPr>
      </w:pPr>
      <w:r w:rsidRPr="00376910">
        <w:rPr>
          <w:rFonts w:ascii="Mangal Pro" w:hAnsi="Mangal Pro" w:cs="Mangal Pro"/>
          <w:sz w:val="22"/>
          <w:szCs w:val="22"/>
        </w:rPr>
        <w:lastRenderedPageBreak/>
        <w:t xml:space="preserve">Conduct targeted outreach to identify eligible students early, including those from underrepresented communities, to maximize program participation. </w:t>
      </w:r>
    </w:p>
    <w:p w14:paraId="77D5065F" w14:textId="2C1F8003" w:rsidR="00F563A3" w:rsidRPr="00376910" w:rsidRDefault="00F563A3" w:rsidP="00F85352">
      <w:pPr>
        <w:pStyle w:val="ListParagraph"/>
        <w:numPr>
          <w:ilvl w:val="0"/>
          <w:numId w:val="36"/>
        </w:numPr>
        <w:spacing w:line="240" w:lineRule="auto"/>
        <w:rPr>
          <w:rFonts w:ascii="Mangal Pro" w:hAnsi="Mangal Pro" w:cs="Mangal Pro"/>
          <w:sz w:val="22"/>
          <w:szCs w:val="22"/>
        </w:rPr>
      </w:pPr>
      <w:r w:rsidRPr="00376910">
        <w:rPr>
          <w:rFonts w:ascii="Mangal Pro" w:hAnsi="Mangal Pro" w:cs="Mangal Pro"/>
          <w:sz w:val="22"/>
          <w:szCs w:val="22"/>
        </w:rPr>
        <w:t xml:space="preserve">Assist students with application completion, financial aid coordination, and enrollment support, ensuring early connection to resources. </w:t>
      </w:r>
    </w:p>
    <w:p w14:paraId="42627055" w14:textId="77777777" w:rsidR="00F563A3" w:rsidRDefault="00F563A3" w:rsidP="00F85352">
      <w:pPr>
        <w:pStyle w:val="ListParagraph"/>
        <w:spacing w:line="240" w:lineRule="auto"/>
        <w:ind w:left="1080"/>
        <w:rPr>
          <w:rFonts w:ascii="Mangal Pro" w:hAnsi="Mangal Pro" w:cs="Mangal Pro"/>
          <w:sz w:val="22"/>
          <w:szCs w:val="22"/>
        </w:rPr>
      </w:pPr>
    </w:p>
    <w:p w14:paraId="557C569A" w14:textId="5F0C0254" w:rsidR="00F563A3" w:rsidRPr="00376910" w:rsidRDefault="00F563A3" w:rsidP="00F85352">
      <w:pPr>
        <w:pStyle w:val="ListParagraph"/>
        <w:numPr>
          <w:ilvl w:val="0"/>
          <w:numId w:val="35"/>
        </w:numPr>
        <w:spacing w:line="240" w:lineRule="auto"/>
        <w:rPr>
          <w:rFonts w:ascii="Mangal Pro" w:hAnsi="Mangal Pro" w:cs="Mangal Pro"/>
          <w:sz w:val="22"/>
          <w:szCs w:val="22"/>
        </w:rPr>
      </w:pPr>
      <w:r w:rsidRPr="00376910">
        <w:rPr>
          <w:rFonts w:ascii="Mangal Pro" w:hAnsi="Mangal Pro" w:cs="Mangal Pro"/>
          <w:sz w:val="22"/>
          <w:szCs w:val="22"/>
        </w:rPr>
        <w:t>Integration with Equity Initiatives</w:t>
      </w:r>
    </w:p>
    <w:p w14:paraId="1E13371A" w14:textId="295119FB" w:rsidR="00F563A3" w:rsidRPr="00B7186C" w:rsidRDefault="00F563A3" w:rsidP="00F85352">
      <w:pPr>
        <w:pStyle w:val="ListParagraph"/>
        <w:numPr>
          <w:ilvl w:val="0"/>
          <w:numId w:val="37"/>
        </w:numPr>
        <w:spacing w:line="240" w:lineRule="auto"/>
        <w:rPr>
          <w:rFonts w:ascii="Mangal Pro" w:hAnsi="Mangal Pro" w:cs="Mangal Pro"/>
          <w:sz w:val="22"/>
          <w:szCs w:val="22"/>
        </w:rPr>
      </w:pPr>
      <w:r w:rsidRPr="00B7186C">
        <w:rPr>
          <w:rFonts w:ascii="Mangal Pro" w:hAnsi="Mangal Pro" w:cs="Mangal Pro"/>
          <w:sz w:val="22"/>
          <w:szCs w:val="22"/>
        </w:rPr>
        <w:t xml:space="preserve">Collaborate with Guided Pathways, Umoja Tumaini, Puente, </w:t>
      </w:r>
      <w:r w:rsidR="00D319BD">
        <w:rPr>
          <w:rFonts w:ascii="Mangal Pro" w:hAnsi="Mangal Pro" w:cs="Mangal Pro"/>
          <w:sz w:val="22"/>
          <w:szCs w:val="22"/>
        </w:rPr>
        <w:t xml:space="preserve">Tatayan, </w:t>
      </w:r>
      <w:r w:rsidRPr="00B7186C">
        <w:rPr>
          <w:rFonts w:ascii="Mangal Pro" w:hAnsi="Mangal Pro" w:cs="Mangal Pro"/>
          <w:sz w:val="22"/>
          <w:szCs w:val="22"/>
        </w:rPr>
        <w:t>and First Year Experience programs to provide culturally relevant academic and mentoring support.</w:t>
      </w:r>
    </w:p>
    <w:p w14:paraId="62359C29" w14:textId="2D264E48" w:rsidR="00F563A3" w:rsidRPr="00B7186C" w:rsidRDefault="00F563A3" w:rsidP="00F85352">
      <w:pPr>
        <w:pStyle w:val="ListParagraph"/>
        <w:numPr>
          <w:ilvl w:val="0"/>
          <w:numId w:val="37"/>
        </w:numPr>
        <w:spacing w:line="240" w:lineRule="auto"/>
        <w:rPr>
          <w:rFonts w:ascii="Mangal Pro" w:hAnsi="Mangal Pro" w:cs="Mangal Pro"/>
          <w:sz w:val="22"/>
          <w:szCs w:val="22"/>
        </w:rPr>
      </w:pPr>
      <w:r w:rsidRPr="00B7186C">
        <w:rPr>
          <w:rFonts w:ascii="Mangal Pro" w:hAnsi="Mangal Pro" w:cs="Mangal Pro"/>
          <w:sz w:val="22"/>
          <w:szCs w:val="22"/>
        </w:rPr>
        <w:t xml:space="preserve">Use data-driven tracking to monitor student progress, identify at-risk students, and intervene early to prevent stop-outs. </w:t>
      </w:r>
    </w:p>
    <w:p w14:paraId="3DB4C82E" w14:textId="77777777" w:rsidR="00F563A3" w:rsidRDefault="00F563A3" w:rsidP="00F85352">
      <w:pPr>
        <w:pStyle w:val="ListParagraph"/>
        <w:numPr>
          <w:ilvl w:val="0"/>
          <w:numId w:val="37"/>
        </w:numPr>
        <w:spacing w:line="240" w:lineRule="auto"/>
        <w:rPr>
          <w:rFonts w:ascii="Mangal Pro" w:hAnsi="Mangal Pro" w:cs="Mangal Pro"/>
          <w:sz w:val="22"/>
          <w:szCs w:val="22"/>
        </w:rPr>
      </w:pPr>
      <w:r>
        <w:rPr>
          <w:rFonts w:ascii="Mangal Pro" w:hAnsi="Mangal Pro" w:cs="Mangal Pro"/>
          <w:sz w:val="22"/>
          <w:szCs w:val="22"/>
        </w:rPr>
        <w:t>Track and report outcomes for enrollment, persistence, degree/certificate completion, and transfer for Black/African American and Hispanic/Latine students, in particular.</w:t>
      </w:r>
    </w:p>
    <w:p w14:paraId="7476364F" w14:textId="0EA0C4E1" w:rsidR="00B7186C" w:rsidRDefault="00B7186C" w:rsidP="00F85352">
      <w:pPr>
        <w:pStyle w:val="ListParagraph"/>
        <w:numPr>
          <w:ilvl w:val="0"/>
          <w:numId w:val="37"/>
        </w:numPr>
        <w:spacing w:line="240" w:lineRule="auto"/>
        <w:rPr>
          <w:rFonts w:ascii="Mangal Pro" w:hAnsi="Mangal Pro" w:cs="Mangal Pro"/>
          <w:sz w:val="22"/>
          <w:szCs w:val="22"/>
        </w:rPr>
      </w:pPr>
      <w:r>
        <w:rPr>
          <w:rFonts w:ascii="Mangal Pro" w:hAnsi="Mangal Pro" w:cs="Mangal Pro"/>
          <w:sz w:val="22"/>
          <w:szCs w:val="22"/>
        </w:rPr>
        <w:t>Align dual enrollment courses with SBVC’s guided pathways to ensure transfer-level readiness and seamless transition to college programs.</w:t>
      </w:r>
    </w:p>
    <w:p w14:paraId="5B706D24" w14:textId="261D91E6" w:rsidR="00F563A3" w:rsidRDefault="00F563A3" w:rsidP="00F85352">
      <w:pPr>
        <w:spacing w:line="240" w:lineRule="auto"/>
        <w:rPr>
          <w:rFonts w:ascii="Mangal Pro" w:hAnsi="Mangal Pro" w:cs="Mangal Pro"/>
          <w:sz w:val="22"/>
          <w:szCs w:val="22"/>
        </w:rPr>
      </w:pPr>
      <w:r>
        <w:rPr>
          <w:rFonts w:ascii="Mangal Pro" w:hAnsi="Mangal Pro" w:cs="Mangal Pro"/>
          <w:sz w:val="22"/>
          <w:szCs w:val="22"/>
        </w:rPr>
        <w:t xml:space="preserve">Through these strategies, </w:t>
      </w:r>
      <w:r w:rsidR="0009714B">
        <w:rPr>
          <w:rFonts w:ascii="Mangal Pro" w:hAnsi="Mangal Pro" w:cs="Mangal Pro"/>
          <w:sz w:val="22"/>
          <w:szCs w:val="22"/>
        </w:rPr>
        <w:t xml:space="preserve">SBVC </w:t>
      </w:r>
      <w:r w:rsidR="00D52010">
        <w:rPr>
          <w:rFonts w:ascii="Mangal Pro" w:hAnsi="Mangal Pro" w:cs="Mangal Pro"/>
          <w:sz w:val="22"/>
          <w:szCs w:val="22"/>
        </w:rPr>
        <w:t>ensures that dual enrollment serves as a bridge to higher education, accelerates academic progress</w:t>
      </w:r>
      <w:r w:rsidR="00D626C1">
        <w:rPr>
          <w:rFonts w:ascii="Mangal Pro" w:hAnsi="Mangal Pro" w:cs="Mangal Pro"/>
          <w:sz w:val="22"/>
          <w:szCs w:val="22"/>
        </w:rPr>
        <w:t xml:space="preserve">, and reduces equity gaps for Black/African American students. </w:t>
      </w:r>
    </w:p>
    <w:p w14:paraId="29B5EACC" w14:textId="77777777" w:rsidR="00CC17E6" w:rsidRDefault="00CC17E6" w:rsidP="00810D7E">
      <w:pPr>
        <w:rPr>
          <w:rFonts w:ascii="Mangal Pro" w:hAnsi="Mangal Pro" w:cs="Mangal Pro"/>
          <w:b/>
          <w:bCs/>
          <w:sz w:val="22"/>
          <w:szCs w:val="22"/>
        </w:rPr>
      </w:pPr>
    </w:p>
    <w:p w14:paraId="02F8807A" w14:textId="3C30EFD6" w:rsidR="00810D7E" w:rsidRPr="00C0661E" w:rsidRDefault="00063DCB" w:rsidP="00C0661E">
      <w:pPr>
        <w:pStyle w:val="ListParagraph"/>
        <w:numPr>
          <w:ilvl w:val="0"/>
          <w:numId w:val="4"/>
        </w:numPr>
        <w:rPr>
          <w:rFonts w:ascii="Mangal Pro" w:hAnsi="Mangal Pro" w:cs="Mangal Pro"/>
          <w:b/>
          <w:bCs/>
          <w:sz w:val="22"/>
          <w:szCs w:val="22"/>
        </w:rPr>
      </w:pPr>
      <w:r w:rsidRPr="00C0661E">
        <w:rPr>
          <w:rFonts w:ascii="Mangal Pro" w:hAnsi="Mangal Pro" w:cs="Mangal Pro"/>
          <w:b/>
          <w:bCs/>
          <w:sz w:val="22"/>
          <w:szCs w:val="22"/>
        </w:rPr>
        <w:t>Strong Workforce</w:t>
      </w:r>
      <w:r w:rsidR="007564E7" w:rsidRPr="00C0661E">
        <w:rPr>
          <w:rFonts w:ascii="Mangal Pro" w:hAnsi="Mangal Pro" w:cs="Mangal Pro"/>
          <w:b/>
          <w:bCs/>
          <w:sz w:val="22"/>
          <w:szCs w:val="22"/>
        </w:rPr>
        <w:t>/Perkins</w:t>
      </w:r>
      <w:r w:rsidR="00810D7E" w:rsidRPr="00C0661E">
        <w:rPr>
          <w:rFonts w:ascii="Mangal Pro" w:hAnsi="Mangal Pro" w:cs="Mangal Pro"/>
          <w:b/>
          <w:bCs/>
          <w:sz w:val="22"/>
          <w:szCs w:val="22"/>
        </w:rPr>
        <w:t xml:space="preserve"> </w:t>
      </w:r>
    </w:p>
    <w:p w14:paraId="12656E63" w14:textId="5BCF5986" w:rsidR="00810D7E" w:rsidRDefault="00810D7E" w:rsidP="00F85352">
      <w:pPr>
        <w:spacing w:line="240" w:lineRule="auto"/>
        <w:rPr>
          <w:rFonts w:ascii="Mangal Pro" w:hAnsi="Mangal Pro" w:cs="Mangal Pro"/>
          <w:sz w:val="22"/>
          <w:szCs w:val="22"/>
        </w:rPr>
      </w:pPr>
      <w:r>
        <w:rPr>
          <w:rFonts w:ascii="Mangal Pro" w:hAnsi="Mangal Pro" w:cs="Mangal Pro"/>
          <w:sz w:val="22"/>
          <w:szCs w:val="22"/>
        </w:rPr>
        <w:t xml:space="preserve">San Bernardino Valley College is committed to </w:t>
      </w:r>
      <w:r w:rsidR="007564E7">
        <w:rPr>
          <w:rFonts w:ascii="Mangal Pro" w:hAnsi="Mangal Pro" w:cs="Mangal Pro"/>
          <w:sz w:val="22"/>
          <w:szCs w:val="22"/>
        </w:rPr>
        <w:t>providing and expanding</w:t>
      </w:r>
      <w:r>
        <w:rPr>
          <w:rFonts w:ascii="Mangal Pro" w:hAnsi="Mangal Pro" w:cs="Mangal Pro"/>
          <w:sz w:val="22"/>
          <w:szCs w:val="22"/>
        </w:rPr>
        <w:t xml:space="preserve"> equitable access, support, and </w:t>
      </w:r>
      <w:r w:rsidR="00E43774">
        <w:rPr>
          <w:rFonts w:ascii="Mangal Pro" w:hAnsi="Mangal Pro" w:cs="Mangal Pro"/>
          <w:sz w:val="22"/>
          <w:szCs w:val="22"/>
        </w:rPr>
        <w:t xml:space="preserve">technical education (CTE) opportunities. Improving workforce </w:t>
      </w:r>
      <w:r w:rsidR="00E2197B">
        <w:rPr>
          <w:rFonts w:ascii="Mangal Pro" w:hAnsi="Mangal Pro" w:cs="Mangal Pro"/>
          <w:sz w:val="22"/>
          <w:szCs w:val="22"/>
        </w:rPr>
        <w:t>outcomes and</w:t>
      </w:r>
      <w:r w:rsidR="00E43774">
        <w:rPr>
          <w:rFonts w:ascii="Mangal Pro" w:hAnsi="Mangal Pro" w:cs="Mangal Pro"/>
          <w:sz w:val="22"/>
          <w:szCs w:val="22"/>
        </w:rPr>
        <w:t xml:space="preserve"> closing equity gaps for disproportionately</w:t>
      </w:r>
      <w:r w:rsidR="00E2197B">
        <w:rPr>
          <w:rFonts w:ascii="Mangal Pro" w:hAnsi="Mangal Pro" w:cs="Mangal Pro"/>
          <w:sz w:val="22"/>
          <w:szCs w:val="22"/>
        </w:rPr>
        <w:t xml:space="preserve"> impacted students in particular Black/African American students. </w:t>
      </w:r>
      <w:r>
        <w:rPr>
          <w:rFonts w:ascii="Mangal Pro" w:hAnsi="Mangal Pro" w:cs="Mangal Pro"/>
          <w:sz w:val="22"/>
          <w:szCs w:val="22"/>
        </w:rPr>
        <w:t>Key strategies include, but are not limited to:</w:t>
      </w:r>
    </w:p>
    <w:p w14:paraId="584889EF" w14:textId="43A4BF2B" w:rsidR="00810D7E" w:rsidRPr="00D94949" w:rsidRDefault="00E2197B" w:rsidP="00F85352">
      <w:pPr>
        <w:pStyle w:val="ListParagraph"/>
        <w:numPr>
          <w:ilvl w:val="0"/>
          <w:numId w:val="38"/>
        </w:numPr>
        <w:spacing w:line="240" w:lineRule="auto"/>
        <w:rPr>
          <w:rFonts w:ascii="Mangal Pro" w:hAnsi="Mangal Pro" w:cs="Mangal Pro"/>
          <w:sz w:val="22"/>
          <w:szCs w:val="22"/>
        </w:rPr>
      </w:pPr>
      <w:r>
        <w:rPr>
          <w:rFonts w:ascii="Mangal Pro" w:hAnsi="Mangal Pro" w:cs="Mangal Pro"/>
          <w:sz w:val="22"/>
          <w:szCs w:val="22"/>
        </w:rPr>
        <w:t>Targeted Outreach and Recruitment</w:t>
      </w:r>
    </w:p>
    <w:p w14:paraId="71E0689E" w14:textId="3B4C2926" w:rsidR="00810D7E" w:rsidRPr="00D94949" w:rsidRDefault="00810D7E" w:rsidP="00F85352">
      <w:pPr>
        <w:pStyle w:val="ListParagraph"/>
        <w:numPr>
          <w:ilvl w:val="0"/>
          <w:numId w:val="39"/>
        </w:numPr>
        <w:spacing w:line="240" w:lineRule="auto"/>
        <w:rPr>
          <w:rFonts w:ascii="Mangal Pro" w:hAnsi="Mangal Pro" w:cs="Mangal Pro"/>
          <w:sz w:val="22"/>
          <w:szCs w:val="22"/>
        </w:rPr>
      </w:pPr>
      <w:r w:rsidRPr="00D94949">
        <w:rPr>
          <w:rFonts w:ascii="Mangal Pro" w:hAnsi="Mangal Pro" w:cs="Mangal Pro"/>
          <w:sz w:val="22"/>
          <w:szCs w:val="22"/>
        </w:rPr>
        <w:t>Conduct targeted outreach to identify eligible students early, including those from underrepresented communities, to maximize program participation.</w:t>
      </w:r>
      <w:r>
        <w:rPr>
          <w:rFonts w:ascii="Mangal Pro" w:hAnsi="Mangal Pro" w:cs="Mangal Pro"/>
          <w:sz w:val="22"/>
          <w:szCs w:val="22"/>
        </w:rPr>
        <w:t xml:space="preserve"> These may include local </w:t>
      </w:r>
      <w:r w:rsidR="002E7D13">
        <w:rPr>
          <w:rFonts w:ascii="Mangal Pro" w:hAnsi="Mangal Pro" w:cs="Mangal Pro"/>
          <w:sz w:val="22"/>
          <w:szCs w:val="22"/>
        </w:rPr>
        <w:t xml:space="preserve">high schools, workforce development boards, and community organizations. </w:t>
      </w:r>
    </w:p>
    <w:p w14:paraId="491A6A96" w14:textId="0A0F1130" w:rsidR="00810D7E" w:rsidRPr="005031A2" w:rsidRDefault="00810D7E" w:rsidP="00F85352">
      <w:pPr>
        <w:pStyle w:val="ListParagraph"/>
        <w:numPr>
          <w:ilvl w:val="0"/>
          <w:numId w:val="39"/>
        </w:numPr>
        <w:spacing w:line="240" w:lineRule="auto"/>
        <w:rPr>
          <w:rFonts w:ascii="Mangal Pro" w:hAnsi="Mangal Pro" w:cs="Mangal Pro"/>
          <w:sz w:val="22"/>
          <w:szCs w:val="22"/>
        </w:rPr>
      </w:pPr>
      <w:r w:rsidRPr="005031A2">
        <w:rPr>
          <w:rFonts w:ascii="Mangal Pro" w:hAnsi="Mangal Pro" w:cs="Mangal Pro"/>
          <w:sz w:val="22"/>
          <w:szCs w:val="22"/>
        </w:rPr>
        <w:lastRenderedPageBreak/>
        <w:t xml:space="preserve">Assist students with application completion, financial aid coordination, and enrollment support, ensuring early connection to resources. </w:t>
      </w:r>
    </w:p>
    <w:p w14:paraId="1577D9A2" w14:textId="77777777" w:rsidR="00810D7E" w:rsidRDefault="00810D7E" w:rsidP="00F85352">
      <w:pPr>
        <w:pStyle w:val="ListParagraph"/>
        <w:spacing w:line="240" w:lineRule="auto"/>
        <w:ind w:left="1080"/>
        <w:rPr>
          <w:rFonts w:ascii="Mangal Pro" w:hAnsi="Mangal Pro" w:cs="Mangal Pro"/>
          <w:sz w:val="22"/>
          <w:szCs w:val="22"/>
        </w:rPr>
      </w:pPr>
    </w:p>
    <w:p w14:paraId="31E4C6DD" w14:textId="5F82F843" w:rsidR="00810D7E" w:rsidRPr="00BC5CBD" w:rsidRDefault="00810D7E" w:rsidP="00F85352">
      <w:pPr>
        <w:pStyle w:val="ListParagraph"/>
        <w:numPr>
          <w:ilvl w:val="0"/>
          <w:numId w:val="38"/>
        </w:numPr>
        <w:spacing w:line="240" w:lineRule="auto"/>
        <w:rPr>
          <w:rFonts w:ascii="Mangal Pro" w:hAnsi="Mangal Pro" w:cs="Mangal Pro"/>
          <w:sz w:val="22"/>
          <w:szCs w:val="22"/>
        </w:rPr>
      </w:pPr>
      <w:r w:rsidRPr="00BC5CBD">
        <w:rPr>
          <w:rFonts w:ascii="Mangal Pro" w:hAnsi="Mangal Pro" w:cs="Mangal Pro"/>
          <w:sz w:val="22"/>
          <w:szCs w:val="22"/>
        </w:rPr>
        <w:t>Integration with Equity Initiatives</w:t>
      </w:r>
    </w:p>
    <w:p w14:paraId="30ADC9CD" w14:textId="17D1D478" w:rsidR="00810D7E" w:rsidRPr="00CC3016" w:rsidRDefault="00BC5CBD" w:rsidP="00F85352">
      <w:pPr>
        <w:pStyle w:val="ListParagraph"/>
        <w:numPr>
          <w:ilvl w:val="0"/>
          <w:numId w:val="40"/>
        </w:numPr>
        <w:spacing w:line="240" w:lineRule="auto"/>
        <w:rPr>
          <w:rFonts w:ascii="Mangal Pro" w:hAnsi="Mangal Pro" w:cs="Mangal Pro"/>
          <w:sz w:val="22"/>
          <w:szCs w:val="22"/>
        </w:rPr>
      </w:pPr>
      <w:r>
        <w:rPr>
          <w:rFonts w:ascii="Mangal Pro" w:hAnsi="Mangal Pro" w:cs="Mangal Pro"/>
          <w:sz w:val="22"/>
          <w:szCs w:val="22"/>
        </w:rPr>
        <w:t>Provide personalized career counseling, academic advising</w:t>
      </w:r>
      <w:r w:rsidR="007663E5">
        <w:rPr>
          <w:rFonts w:ascii="Mangal Pro" w:hAnsi="Mangal Pro" w:cs="Mangal Pro"/>
          <w:sz w:val="22"/>
          <w:szCs w:val="22"/>
        </w:rPr>
        <w:t xml:space="preserve">, and mentorship to guide students through CTE program completion and transfer. </w:t>
      </w:r>
    </w:p>
    <w:p w14:paraId="16239C2F" w14:textId="01E653A6" w:rsidR="00810D7E" w:rsidRPr="00CC3016" w:rsidRDefault="00810D7E" w:rsidP="00F85352">
      <w:pPr>
        <w:pStyle w:val="ListParagraph"/>
        <w:numPr>
          <w:ilvl w:val="0"/>
          <w:numId w:val="40"/>
        </w:numPr>
        <w:spacing w:line="240" w:lineRule="auto"/>
        <w:rPr>
          <w:rFonts w:ascii="Mangal Pro" w:hAnsi="Mangal Pro" w:cs="Mangal Pro"/>
          <w:sz w:val="22"/>
          <w:szCs w:val="22"/>
        </w:rPr>
      </w:pPr>
      <w:r w:rsidRPr="00CC3016">
        <w:rPr>
          <w:rFonts w:ascii="Mangal Pro" w:hAnsi="Mangal Pro" w:cs="Mangal Pro"/>
          <w:sz w:val="22"/>
          <w:szCs w:val="22"/>
        </w:rPr>
        <w:t xml:space="preserve">Use data-driven tracking to monitor student progress, identify at-risk students, and intervene early to prevent stop-outs. </w:t>
      </w:r>
    </w:p>
    <w:p w14:paraId="6F2B8153" w14:textId="7A727D18" w:rsidR="00810D7E" w:rsidRDefault="00810D7E" w:rsidP="00F85352">
      <w:pPr>
        <w:pStyle w:val="ListParagraph"/>
        <w:numPr>
          <w:ilvl w:val="0"/>
          <w:numId w:val="40"/>
        </w:numPr>
        <w:spacing w:line="240" w:lineRule="auto"/>
        <w:rPr>
          <w:rFonts w:ascii="Mangal Pro" w:hAnsi="Mangal Pro" w:cs="Mangal Pro"/>
          <w:sz w:val="22"/>
          <w:szCs w:val="22"/>
        </w:rPr>
      </w:pPr>
      <w:r>
        <w:rPr>
          <w:rFonts w:ascii="Mangal Pro" w:hAnsi="Mangal Pro" w:cs="Mangal Pro"/>
          <w:sz w:val="22"/>
          <w:szCs w:val="22"/>
        </w:rPr>
        <w:t>Track and report outcomes for enrollment, persistence, degree/certificate completion, and transfer for Black/African American and Hispanic/Latine students, in particular.</w:t>
      </w:r>
    </w:p>
    <w:p w14:paraId="5BE544FA" w14:textId="33970921" w:rsidR="00CD5916" w:rsidRDefault="00CD5916" w:rsidP="00F85352">
      <w:pPr>
        <w:pStyle w:val="ListParagraph"/>
        <w:numPr>
          <w:ilvl w:val="0"/>
          <w:numId w:val="40"/>
        </w:numPr>
        <w:spacing w:line="240" w:lineRule="auto"/>
        <w:rPr>
          <w:rFonts w:ascii="Mangal Pro" w:hAnsi="Mangal Pro" w:cs="Mangal Pro"/>
          <w:sz w:val="22"/>
          <w:szCs w:val="22"/>
        </w:rPr>
      </w:pPr>
      <w:r>
        <w:rPr>
          <w:rFonts w:ascii="Mangal Pro" w:hAnsi="Mangal Pro" w:cs="Mangal Pro"/>
          <w:sz w:val="22"/>
          <w:szCs w:val="22"/>
        </w:rPr>
        <w:t xml:space="preserve">Refine program offerings, student support services, and employer </w:t>
      </w:r>
      <w:r w:rsidR="00692206">
        <w:rPr>
          <w:rFonts w:ascii="Mangal Pro" w:hAnsi="Mangal Pro" w:cs="Mangal Pro"/>
          <w:sz w:val="22"/>
          <w:szCs w:val="22"/>
        </w:rPr>
        <w:t>partnerships based on equity-focused outcomes to maximize success and socio-economic mobility.</w:t>
      </w:r>
    </w:p>
    <w:p w14:paraId="730D4D94" w14:textId="137A7621" w:rsidR="00810D7E" w:rsidRDefault="00692206" w:rsidP="00F85352">
      <w:pPr>
        <w:spacing w:line="240" w:lineRule="auto"/>
        <w:rPr>
          <w:rFonts w:ascii="Mangal Pro" w:hAnsi="Mangal Pro" w:cs="Mangal Pro"/>
          <w:sz w:val="22"/>
          <w:szCs w:val="22"/>
        </w:rPr>
      </w:pPr>
      <w:r>
        <w:rPr>
          <w:rFonts w:ascii="Mangal Pro" w:hAnsi="Mangal Pro" w:cs="Mangal Pro"/>
          <w:sz w:val="22"/>
          <w:szCs w:val="22"/>
        </w:rPr>
        <w:t>Through these strategies, SBVC ensures that workforce and technical education pathw</w:t>
      </w:r>
      <w:r w:rsidR="00B26CCA">
        <w:rPr>
          <w:rFonts w:ascii="Mangal Pro" w:hAnsi="Mangal Pro" w:cs="Mangal Pro"/>
          <w:sz w:val="22"/>
          <w:szCs w:val="22"/>
        </w:rPr>
        <w:t xml:space="preserve">ays are accessible, equitable, and aligned with Vision 2030 goals, providing Black African/American </w:t>
      </w:r>
      <w:r w:rsidR="00A77F0F">
        <w:rPr>
          <w:rFonts w:ascii="Mangal Pro" w:hAnsi="Mangal Pro" w:cs="Mangal Pro"/>
          <w:sz w:val="22"/>
          <w:szCs w:val="22"/>
        </w:rPr>
        <w:t>students with opportunities to achieve high-wage careers and economic mobility.</w:t>
      </w:r>
    </w:p>
    <w:p w14:paraId="60660D7E" w14:textId="77777777" w:rsidR="00810D7E" w:rsidRPr="00686582" w:rsidRDefault="00810D7E" w:rsidP="00F85352">
      <w:pPr>
        <w:spacing w:line="240" w:lineRule="auto"/>
        <w:rPr>
          <w:rFonts w:ascii="Mangal Pro" w:hAnsi="Mangal Pro" w:cs="Mangal Pro"/>
          <w:sz w:val="22"/>
          <w:szCs w:val="22"/>
        </w:rPr>
      </w:pPr>
    </w:p>
    <w:p w14:paraId="404A71B2" w14:textId="77777777" w:rsidR="00810D7E" w:rsidRDefault="00810D7E" w:rsidP="00F85352">
      <w:pPr>
        <w:spacing w:line="240" w:lineRule="auto"/>
        <w:rPr>
          <w:rFonts w:ascii="Mangal Pro" w:hAnsi="Mangal Pro" w:cs="Mangal Pro"/>
          <w:sz w:val="22"/>
          <w:szCs w:val="22"/>
        </w:rPr>
      </w:pPr>
    </w:p>
    <w:p w14:paraId="0317F585" w14:textId="77777777" w:rsidR="00F563A3" w:rsidRDefault="00F563A3" w:rsidP="00F85352">
      <w:pPr>
        <w:spacing w:line="240" w:lineRule="auto"/>
        <w:rPr>
          <w:rFonts w:ascii="Mangal Pro" w:hAnsi="Mangal Pro" w:cs="Mangal Pro"/>
          <w:sz w:val="22"/>
          <w:szCs w:val="22"/>
        </w:rPr>
      </w:pPr>
    </w:p>
    <w:p w14:paraId="5FB35E23" w14:textId="77777777" w:rsidR="00DD1F85" w:rsidRDefault="00DD1F85" w:rsidP="00F85352">
      <w:pPr>
        <w:spacing w:line="240" w:lineRule="auto"/>
        <w:rPr>
          <w:rFonts w:ascii="Mangal Pro" w:hAnsi="Mangal Pro" w:cs="Mangal Pro"/>
          <w:sz w:val="22"/>
          <w:szCs w:val="22"/>
        </w:rPr>
      </w:pPr>
    </w:p>
    <w:p w14:paraId="24D0538F" w14:textId="77777777" w:rsidR="00DD1F85" w:rsidRDefault="00DD1F85" w:rsidP="00F85352">
      <w:pPr>
        <w:spacing w:line="240" w:lineRule="auto"/>
        <w:rPr>
          <w:rFonts w:ascii="Mangal Pro" w:hAnsi="Mangal Pro" w:cs="Mangal Pro"/>
          <w:sz w:val="22"/>
          <w:szCs w:val="22"/>
        </w:rPr>
      </w:pPr>
    </w:p>
    <w:p w14:paraId="307DBBAF" w14:textId="77777777" w:rsidR="00DD1F85" w:rsidRDefault="00DD1F85" w:rsidP="00F85352">
      <w:pPr>
        <w:spacing w:line="240" w:lineRule="auto"/>
        <w:rPr>
          <w:rFonts w:ascii="Mangal Pro" w:hAnsi="Mangal Pro" w:cs="Mangal Pro"/>
          <w:sz w:val="22"/>
          <w:szCs w:val="22"/>
        </w:rPr>
      </w:pPr>
    </w:p>
    <w:p w14:paraId="2F5A9485" w14:textId="77777777" w:rsidR="00DD1F85" w:rsidRDefault="00DD1F85" w:rsidP="00F85352">
      <w:pPr>
        <w:spacing w:line="240" w:lineRule="auto"/>
        <w:rPr>
          <w:rFonts w:ascii="Mangal Pro" w:hAnsi="Mangal Pro" w:cs="Mangal Pro"/>
          <w:sz w:val="22"/>
          <w:szCs w:val="22"/>
        </w:rPr>
      </w:pPr>
    </w:p>
    <w:p w14:paraId="5D73E678" w14:textId="77777777" w:rsidR="00DD1F85" w:rsidRDefault="00DD1F85" w:rsidP="00F85352">
      <w:pPr>
        <w:spacing w:line="240" w:lineRule="auto"/>
        <w:rPr>
          <w:rFonts w:ascii="Mangal Pro" w:hAnsi="Mangal Pro" w:cs="Mangal Pro"/>
          <w:sz w:val="22"/>
          <w:szCs w:val="22"/>
        </w:rPr>
      </w:pPr>
    </w:p>
    <w:p w14:paraId="15E1724C" w14:textId="77777777" w:rsidR="00DD1F85" w:rsidRDefault="00DD1F85" w:rsidP="00F85352">
      <w:pPr>
        <w:spacing w:line="240" w:lineRule="auto"/>
        <w:rPr>
          <w:rFonts w:ascii="Mangal Pro" w:hAnsi="Mangal Pro" w:cs="Mangal Pro"/>
          <w:sz w:val="22"/>
          <w:szCs w:val="22"/>
        </w:rPr>
      </w:pPr>
    </w:p>
    <w:p w14:paraId="6D1979E5" w14:textId="67F50B08" w:rsidR="00DD1F85" w:rsidRDefault="00DD1F85" w:rsidP="00DD1F85">
      <w:pPr>
        <w:spacing w:line="240" w:lineRule="auto"/>
        <w:jc w:val="center"/>
        <w:rPr>
          <w:rFonts w:ascii="Mangal Pro" w:hAnsi="Mangal Pro" w:cs="Mangal Pro"/>
          <w:b/>
          <w:bCs/>
          <w:sz w:val="22"/>
          <w:szCs w:val="22"/>
        </w:rPr>
      </w:pPr>
    </w:p>
    <w:p w14:paraId="771EFCB3" w14:textId="43B57188" w:rsidR="00DD1F85" w:rsidRPr="00DD1F85" w:rsidRDefault="00DD1F85" w:rsidP="00DD1F85">
      <w:pPr>
        <w:spacing w:line="240" w:lineRule="auto"/>
        <w:jc w:val="center"/>
        <w:rPr>
          <w:rFonts w:ascii="Mangal Pro" w:hAnsi="Mangal Pro" w:cs="Mangal Pro"/>
          <w:sz w:val="22"/>
          <w:szCs w:val="22"/>
        </w:rPr>
      </w:pPr>
    </w:p>
    <w:p w14:paraId="35EC4640" w14:textId="77777777" w:rsidR="002944FD" w:rsidRDefault="002944FD" w:rsidP="002C290C">
      <w:pPr>
        <w:rPr>
          <w:rFonts w:ascii="Mangal Pro" w:hAnsi="Mangal Pro" w:cs="Mangal Pro"/>
          <w:sz w:val="22"/>
          <w:szCs w:val="22"/>
        </w:rPr>
      </w:pPr>
    </w:p>
    <w:sectPr w:rsidR="002944FD">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44D07" w14:textId="77777777" w:rsidR="00053C32" w:rsidRDefault="00053C32">
      <w:pPr>
        <w:spacing w:after="0" w:line="240" w:lineRule="auto"/>
      </w:pPr>
      <w:r>
        <w:separator/>
      </w:r>
    </w:p>
  </w:endnote>
  <w:endnote w:type="continuationSeparator" w:id="0">
    <w:p w14:paraId="160B7E42" w14:textId="77777777" w:rsidR="00053C32" w:rsidRDefault="00053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ngal Pro">
    <w:charset w:val="00"/>
    <w:family w:val="auto"/>
    <w:pitch w:val="variable"/>
    <w:sig w:usb0="00008003" w:usb1="00000000" w:usb2="00000000" w:usb3="00000000" w:csb0="00000001"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51134" w14:textId="77777777" w:rsidR="000013C6" w:rsidRDefault="000013C6">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9BBBA18" wp14:editId="51DEDDF8">
              <wp:simplePos x="0" y="0"/>
              <wp:positionH relativeFrom="page">
                <wp:posOffset>6704076</wp:posOffset>
              </wp:positionH>
              <wp:positionV relativeFrom="page">
                <wp:posOffset>9276651</wp:posOffset>
              </wp:positionV>
              <wp:extent cx="20574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100"/>
                      </a:xfrm>
                      <a:prstGeom prst="rect">
                        <a:avLst/>
                      </a:prstGeom>
                    </wps:spPr>
                    <wps:txbx>
                      <w:txbxContent>
                        <w:p w14:paraId="3F4E6000" w14:textId="77777777" w:rsidR="000013C6" w:rsidRDefault="000013C6">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19BBBA18" id="_x0000_t202" coordsize="21600,21600" o:spt="202" path="m,l,21600r21600,l21600,xe">
              <v:stroke joinstyle="miter"/>
              <v:path gradientshapeok="t" o:connecttype="rect"/>
            </v:shapetype>
            <v:shape id="Textbox 1" o:spid="_x0000_s1026" type="#_x0000_t202" style="position:absolute;margin-left:527.9pt;margin-top:730.45pt;width:16.2pt;height: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" filled="f" stroked="f">
              <v:textbox inset="0,0,0,0">
                <w:txbxContent>
                  <w:p w14:paraId="3F4E6000" w14:textId="77777777" w:rsidR="000013C6" w:rsidRDefault="000013C6">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D5CF1" w14:textId="77777777" w:rsidR="00053C32" w:rsidRDefault="00053C32">
      <w:pPr>
        <w:spacing w:after="0" w:line="240" w:lineRule="auto"/>
      </w:pPr>
      <w:r>
        <w:separator/>
      </w:r>
    </w:p>
  </w:footnote>
  <w:footnote w:type="continuationSeparator" w:id="0">
    <w:p w14:paraId="1427ED5A" w14:textId="77777777" w:rsidR="00053C32" w:rsidRDefault="00053C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180C"/>
    <w:multiLevelType w:val="hybridMultilevel"/>
    <w:tmpl w:val="2D581586"/>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62F95"/>
    <w:multiLevelType w:val="multilevel"/>
    <w:tmpl w:val="8946C1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start w:val="1"/>
      <w:numFmt w:val="decimal"/>
      <w:lvlText w:val="%4)"/>
      <w:lvlJc w:val="left"/>
      <w:pPr>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C72D8"/>
    <w:multiLevelType w:val="hybridMultilevel"/>
    <w:tmpl w:val="53C07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E6148"/>
    <w:multiLevelType w:val="hybridMultilevel"/>
    <w:tmpl w:val="14B85190"/>
    <w:lvl w:ilvl="0" w:tplc="66D8D8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79631E"/>
    <w:multiLevelType w:val="hybridMultilevel"/>
    <w:tmpl w:val="F98C2AD6"/>
    <w:lvl w:ilvl="0" w:tplc="29A05A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863883"/>
    <w:multiLevelType w:val="multilevel"/>
    <w:tmpl w:val="830C0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C36B5"/>
    <w:multiLevelType w:val="multilevel"/>
    <w:tmpl w:val="658651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upperLetter"/>
      <w:lvlText w:val="%3."/>
      <w:lvlJc w:val="left"/>
      <w:pPr>
        <w:ind w:left="2160" w:hanging="360"/>
      </w:pPr>
      <w:rPr>
        <w:rFonts w:hint="default"/>
      </w:rPr>
    </w:lvl>
    <w:lvl w:ilvl="3">
      <w:start w:val="1"/>
      <w:numFmt w:val="decimal"/>
      <w:lvlText w:val="%4)"/>
      <w:lvlJc w:val="left"/>
      <w:pPr>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0563D2"/>
    <w:multiLevelType w:val="multilevel"/>
    <w:tmpl w:val="97AAD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C016A5"/>
    <w:multiLevelType w:val="hybridMultilevel"/>
    <w:tmpl w:val="B29ED91A"/>
    <w:lvl w:ilvl="0" w:tplc="F29CD7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607E93"/>
    <w:multiLevelType w:val="hybridMultilevel"/>
    <w:tmpl w:val="A09E3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233E83"/>
    <w:multiLevelType w:val="hybridMultilevel"/>
    <w:tmpl w:val="36D2990A"/>
    <w:lvl w:ilvl="0" w:tplc="C36233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696BA9"/>
    <w:multiLevelType w:val="multilevel"/>
    <w:tmpl w:val="93468FD8"/>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4C4F08"/>
    <w:multiLevelType w:val="multilevel"/>
    <w:tmpl w:val="4E4C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645D01"/>
    <w:multiLevelType w:val="multilevel"/>
    <w:tmpl w:val="820ED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C72E52"/>
    <w:multiLevelType w:val="hybridMultilevel"/>
    <w:tmpl w:val="8C24C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2B201D"/>
    <w:multiLevelType w:val="multilevel"/>
    <w:tmpl w:val="556A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09251F"/>
    <w:multiLevelType w:val="hybridMultilevel"/>
    <w:tmpl w:val="C5921B84"/>
    <w:lvl w:ilvl="0" w:tplc="C64865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31711E"/>
    <w:multiLevelType w:val="hybridMultilevel"/>
    <w:tmpl w:val="6D304A00"/>
    <w:lvl w:ilvl="0" w:tplc="EC5044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940B15"/>
    <w:multiLevelType w:val="hybridMultilevel"/>
    <w:tmpl w:val="592EB5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071F75"/>
    <w:multiLevelType w:val="multilevel"/>
    <w:tmpl w:val="658651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upperLetter"/>
      <w:lvlText w:val="%3."/>
      <w:lvlJc w:val="left"/>
      <w:pPr>
        <w:ind w:left="2160" w:hanging="360"/>
      </w:pPr>
      <w:rPr>
        <w:rFonts w:hint="default"/>
      </w:rPr>
    </w:lvl>
    <w:lvl w:ilvl="3">
      <w:start w:val="1"/>
      <w:numFmt w:val="decimal"/>
      <w:lvlText w:val="%4)"/>
      <w:lvlJc w:val="left"/>
      <w:pPr>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1A4794"/>
    <w:multiLevelType w:val="hybridMultilevel"/>
    <w:tmpl w:val="1104374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B72C06"/>
    <w:multiLevelType w:val="hybridMultilevel"/>
    <w:tmpl w:val="BBCAC4F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4E2526"/>
    <w:multiLevelType w:val="hybridMultilevel"/>
    <w:tmpl w:val="1676034E"/>
    <w:lvl w:ilvl="0" w:tplc="1D1AE2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0A364AF"/>
    <w:multiLevelType w:val="hybridMultilevel"/>
    <w:tmpl w:val="C21C3A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52F01"/>
    <w:multiLevelType w:val="hybridMultilevel"/>
    <w:tmpl w:val="67661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103D67"/>
    <w:multiLevelType w:val="hybridMultilevel"/>
    <w:tmpl w:val="A4862A0E"/>
    <w:lvl w:ilvl="0" w:tplc="769A78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964338C"/>
    <w:multiLevelType w:val="hybridMultilevel"/>
    <w:tmpl w:val="76DA01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950692"/>
    <w:multiLevelType w:val="hybridMultilevel"/>
    <w:tmpl w:val="621C3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A735C0"/>
    <w:multiLevelType w:val="multilevel"/>
    <w:tmpl w:val="6FD8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A44994"/>
    <w:multiLevelType w:val="multilevel"/>
    <w:tmpl w:val="D39C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250560"/>
    <w:multiLevelType w:val="hybridMultilevel"/>
    <w:tmpl w:val="98EE7F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0D6A0A"/>
    <w:multiLevelType w:val="hybridMultilevel"/>
    <w:tmpl w:val="52B0B13A"/>
    <w:lvl w:ilvl="0" w:tplc="31562E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63F02E1"/>
    <w:multiLevelType w:val="hybridMultilevel"/>
    <w:tmpl w:val="8DA0A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911483"/>
    <w:multiLevelType w:val="hybridMultilevel"/>
    <w:tmpl w:val="EF60F854"/>
    <w:lvl w:ilvl="0" w:tplc="FF46DD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89516ED"/>
    <w:multiLevelType w:val="hybridMultilevel"/>
    <w:tmpl w:val="8B8E3AEE"/>
    <w:lvl w:ilvl="0" w:tplc="4A422E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C5C6C70"/>
    <w:multiLevelType w:val="hybridMultilevel"/>
    <w:tmpl w:val="942836F6"/>
    <w:lvl w:ilvl="0" w:tplc="E1340D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E9133D4"/>
    <w:multiLevelType w:val="hybridMultilevel"/>
    <w:tmpl w:val="9814B3D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EDB34DF"/>
    <w:multiLevelType w:val="multilevel"/>
    <w:tmpl w:val="066CD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532820"/>
    <w:multiLevelType w:val="hybridMultilevel"/>
    <w:tmpl w:val="C11A8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63108C"/>
    <w:multiLevelType w:val="hybridMultilevel"/>
    <w:tmpl w:val="34668828"/>
    <w:lvl w:ilvl="0" w:tplc="090C72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38C4421"/>
    <w:multiLevelType w:val="hybridMultilevel"/>
    <w:tmpl w:val="B9ACAEA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74E6BEB"/>
    <w:multiLevelType w:val="hybridMultilevel"/>
    <w:tmpl w:val="D430C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83804CF"/>
    <w:multiLevelType w:val="hybridMultilevel"/>
    <w:tmpl w:val="23D634A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87A4F1F"/>
    <w:multiLevelType w:val="hybridMultilevel"/>
    <w:tmpl w:val="6D2ED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B416F7"/>
    <w:multiLevelType w:val="hybridMultilevel"/>
    <w:tmpl w:val="928EF118"/>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5" w15:restartNumberingAfterBreak="0">
    <w:nsid w:val="690C5157"/>
    <w:multiLevelType w:val="multilevel"/>
    <w:tmpl w:val="0A6EA0D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2"/>
      <w:numFmt w:val="decimal"/>
      <w:lvlText w:val="%3)"/>
      <w:lvlJc w:val="left"/>
      <w:pPr>
        <w:ind w:left="2160" w:hanging="360"/>
      </w:pPr>
      <w:rPr>
        <w:rFonts w:hint="default"/>
      </w:r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A1B5945"/>
    <w:multiLevelType w:val="hybridMultilevel"/>
    <w:tmpl w:val="C55E4F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272326"/>
    <w:multiLevelType w:val="hybridMultilevel"/>
    <w:tmpl w:val="CA2A4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F14BC9"/>
    <w:multiLevelType w:val="hybridMultilevel"/>
    <w:tmpl w:val="1696ED76"/>
    <w:lvl w:ilvl="0" w:tplc="E69EC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D202EE2"/>
    <w:multiLevelType w:val="hybridMultilevel"/>
    <w:tmpl w:val="418E4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630195"/>
    <w:multiLevelType w:val="hybridMultilevel"/>
    <w:tmpl w:val="A48AEBC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FE33066"/>
    <w:multiLevelType w:val="hybridMultilevel"/>
    <w:tmpl w:val="B8D2D246"/>
    <w:lvl w:ilvl="0" w:tplc="D39801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0DB4582"/>
    <w:multiLevelType w:val="multilevel"/>
    <w:tmpl w:val="77B247D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52B4775"/>
    <w:multiLevelType w:val="multilevel"/>
    <w:tmpl w:val="3036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6B1314B"/>
    <w:multiLevelType w:val="hybridMultilevel"/>
    <w:tmpl w:val="A3C42C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7EB4317"/>
    <w:multiLevelType w:val="hybridMultilevel"/>
    <w:tmpl w:val="8B6A09C8"/>
    <w:lvl w:ilvl="0" w:tplc="2A3EEE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9C14191"/>
    <w:multiLevelType w:val="hybridMultilevel"/>
    <w:tmpl w:val="77EAC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AF56733"/>
    <w:multiLevelType w:val="multilevel"/>
    <w:tmpl w:val="AA04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7346426">
    <w:abstractNumId w:val="19"/>
  </w:num>
  <w:num w:numId="2" w16cid:durableId="1546868488">
    <w:abstractNumId w:val="7"/>
  </w:num>
  <w:num w:numId="3" w16cid:durableId="1688672253">
    <w:abstractNumId w:val="52"/>
  </w:num>
  <w:num w:numId="4" w16cid:durableId="1460687835">
    <w:abstractNumId w:val="45"/>
  </w:num>
  <w:num w:numId="5" w16cid:durableId="1792168686">
    <w:abstractNumId w:val="57"/>
  </w:num>
  <w:num w:numId="6" w16cid:durableId="433785378">
    <w:abstractNumId w:val="5"/>
  </w:num>
  <w:num w:numId="7" w16cid:durableId="1262026759">
    <w:abstractNumId w:val="32"/>
  </w:num>
  <w:num w:numId="8" w16cid:durableId="640572738">
    <w:abstractNumId w:val="47"/>
  </w:num>
  <w:num w:numId="9" w16cid:durableId="411968335">
    <w:abstractNumId w:val="56"/>
  </w:num>
  <w:num w:numId="10" w16cid:durableId="327248754">
    <w:abstractNumId w:val="24"/>
  </w:num>
  <w:num w:numId="11" w16cid:durableId="220748344">
    <w:abstractNumId w:val="23"/>
  </w:num>
  <w:num w:numId="12" w16cid:durableId="260799910">
    <w:abstractNumId w:val="18"/>
  </w:num>
  <w:num w:numId="13" w16cid:durableId="731007978">
    <w:abstractNumId w:val="34"/>
  </w:num>
  <w:num w:numId="14" w16cid:durableId="1722635365">
    <w:abstractNumId w:val="8"/>
  </w:num>
  <w:num w:numId="15" w16cid:durableId="1336154583">
    <w:abstractNumId w:val="22"/>
  </w:num>
  <w:num w:numId="16" w16cid:durableId="877160903">
    <w:abstractNumId w:val="25"/>
  </w:num>
  <w:num w:numId="17" w16cid:durableId="1845246767">
    <w:abstractNumId w:val="3"/>
  </w:num>
  <w:num w:numId="18" w16cid:durableId="583992533">
    <w:abstractNumId w:val="55"/>
  </w:num>
  <w:num w:numId="19" w16cid:durableId="1185510043">
    <w:abstractNumId w:val="39"/>
  </w:num>
  <w:num w:numId="20" w16cid:durableId="1136796335">
    <w:abstractNumId w:val="30"/>
  </w:num>
  <w:num w:numId="21" w16cid:durableId="1011369408">
    <w:abstractNumId w:val="4"/>
  </w:num>
  <w:num w:numId="22" w16cid:durableId="601227730">
    <w:abstractNumId w:val="48"/>
  </w:num>
  <w:num w:numId="23" w16cid:durableId="1914195027">
    <w:abstractNumId w:val="38"/>
  </w:num>
  <w:num w:numId="24" w16cid:durableId="11877308">
    <w:abstractNumId w:val="16"/>
  </w:num>
  <w:num w:numId="25" w16cid:durableId="1181702088">
    <w:abstractNumId w:val="51"/>
  </w:num>
  <w:num w:numId="26" w16cid:durableId="358700231">
    <w:abstractNumId w:val="27"/>
  </w:num>
  <w:num w:numId="27" w16cid:durableId="1703749246">
    <w:abstractNumId w:val="35"/>
  </w:num>
  <w:num w:numId="28" w16cid:durableId="2080009880">
    <w:abstractNumId w:val="31"/>
  </w:num>
  <w:num w:numId="29" w16cid:durableId="1368681979">
    <w:abstractNumId w:val="20"/>
  </w:num>
  <w:num w:numId="30" w16cid:durableId="1100025223">
    <w:abstractNumId w:val="43"/>
  </w:num>
  <w:num w:numId="31" w16cid:durableId="32655476">
    <w:abstractNumId w:val="21"/>
  </w:num>
  <w:num w:numId="32" w16cid:durableId="1044906359">
    <w:abstractNumId w:val="9"/>
  </w:num>
  <w:num w:numId="33" w16cid:durableId="903489331">
    <w:abstractNumId w:val="42"/>
  </w:num>
  <w:num w:numId="34" w16cid:durableId="75640263">
    <w:abstractNumId w:val="40"/>
  </w:num>
  <w:num w:numId="35" w16cid:durableId="6686257">
    <w:abstractNumId w:val="2"/>
  </w:num>
  <w:num w:numId="36" w16cid:durableId="465196769">
    <w:abstractNumId w:val="36"/>
  </w:num>
  <w:num w:numId="37" w16cid:durableId="2134516159">
    <w:abstractNumId w:val="50"/>
  </w:num>
  <w:num w:numId="38" w16cid:durableId="548960343">
    <w:abstractNumId w:val="17"/>
  </w:num>
  <w:num w:numId="39" w16cid:durableId="928655285">
    <w:abstractNumId w:val="33"/>
  </w:num>
  <w:num w:numId="40" w16cid:durableId="1617172760">
    <w:abstractNumId w:val="10"/>
  </w:num>
  <w:num w:numId="41" w16cid:durableId="725764997">
    <w:abstractNumId w:val="54"/>
  </w:num>
  <w:num w:numId="42" w16cid:durableId="738985586">
    <w:abstractNumId w:val="46"/>
  </w:num>
  <w:num w:numId="43" w16cid:durableId="2058583350">
    <w:abstractNumId w:val="26"/>
  </w:num>
  <w:num w:numId="44" w16cid:durableId="513347380">
    <w:abstractNumId w:val="49"/>
  </w:num>
  <w:num w:numId="45" w16cid:durableId="1906724319">
    <w:abstractNumId w:val="14"/>
  </w:num>
  <w:num w:numId="46" w16cid:durableId="1506287674">
    <w:abstractNumId w:val="0"/>
  </w:num>
  <w:num w:numId="47" w16cid:durableId="62027571">
    <w:abstractNumId w:val="11"/>
  </w:num>
  <w:num w:numId="48" w16cid:durableId="1398629398">
    <w:abstractNumId w:val="15"/>
  </w:num>
  <w:num w:numId="49" w16cid:durableId="104929484">
    <w:abstractNumId w:val="28"/>
  </w:num>
  <w:num w:numId="50" w16cid:durableId="1578706648">
    <w:abstractNumId w:val="19"/>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1" w16cid:durableId="8659449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422693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95290914">
    <w:abstractNumId w:val="1"/>
  </w:num>
  <w:num w:numId="54" w16cid:durableId="14861178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26870580">
    <w:abstractNumId w:val="41"/>
  </w:num>
  <w:num w:numId="56" w16cid:durableId="1371615137">
    <w:abstractNumId w:val="37"/>
  </w:num>
  <w:num w:numId="57" w16cid:durableId="220868353">
    <w:abstractNumId w:val="44"/>
  </w:num>
  <w:num w:numId="58" w16cid:durableId="1826428529">
    <w:abstractNumId w:val="6"/>
  </w:num>
  <w:num w:numId="59" w16cid:durableId="303773303">
    <w:abstractNumId w:val="29"/>
  </w:num>
  <w:num w:numId="60" w16cid:durableId="584074122">
    <w:abstractNumId w:val="13"/>
  </w:num>
  <w:num w:numId="61" w16cid:durableId="973293019">
    <w:abstractNumId w:val="53"/>
  </w:num>
  <w:num w:numId="62" w16cid:durableId="1313559273">
    <w:abstractNumId w:val="1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8E"/>
    <w:rsid w:val="000013C6"/>
    <w:rsid w:val="00001D1F"/>
    <w:rsid w:val="00020154"/>
    <w:rsid w:val="00030BDC"/>
    <w:rsid w:val="000316B2"/>
    <w:rsid w:val="00036419"/>
    <w:rsid w:val="00053C32"/>
    <w:rsid w:val="00060738"/>
    <w:rsid w:val="00063DCB"/>
    <w:rsid w:val="00071334"/>
    <w:rsid w:val="0009714B"/>
    <w:rsid w:val="000A2AC4"/>
    <w:rsid w:val="000A4BA0"/>
    <w:rsid w:val="000B2B6B"/>
    <w:rsid w:val="000B41EE"/>
    <w:rsid w:val="000B6596"/>
    <w:rsid w:val="000C3682"/>
    <w:rsid w:val="000C477D"/>
    <w:rsid w:val="000D1420"/>
    <w:rsid w:val="000F1F3D"/>
    <w:rsid w:val="000F4864"/>
    <w:rsid w:val="000F4C5D"/>
    <w:rsid w:val="001009B9"/>
    <w:rsid w:val="00105FAC"/>
    <w:rsid w:val="001067BF"/>
    <w:rsid w:val="00107730"/>
    <w:rsid w:val="00120456"/>
    <w:rsid w:val="00127720"/>
    <w:rsid w:val="00144CC0"/>
    <w:rsid w:val="00146B7F"/>
    <w:rsid w:val="00147B51"/>
    <w:rsid w:val="00147CBC"/>
    <w:rsid w:val="00151C00"/>
    <w:rsid w:val="001577F9"/>
    <w:rsid w:val="00175B8A"/>
    <w:rsid w:val="00181817"/>
    <w:rsid w:val="0019295E"/>
    <w:rsid w:val="001938E9"/>
    <w:rsid w:val="001969D9"/>
    <w:rsid w:val="001A2CEB"/>
    <w:rsid w:val="001A490D"/>
    <w:rsid w:val="001A79BE"/>
    <w:rsid w:val="001B1419"/>
    <w:rsid w:val="001B3344"/>
    <w:rsid w:val="001B7C8E"/>
    <w:rsid w:val="001C7645"/>
    <w:rsid w:val="001D0346"/>
    <w:rsid w:val="001D396D"/>
    <w:rsid w:val="001E2277"/>
    <w:rsid w:val="001F25E1"/>
    <w:rsid w:val="002037A0"/>
    <w:rsid w:val="00205DF4"/>
    <w:rsid w:val="00221617"/>
    <w:rsid w:val="00223A98"/>
    <w:rsid w:val="00226685"/>
    <w:rsid w:val="00235AA5"/>
    <w:rsid w:val="00236DFC"/>
    <w:rsid w:val="0025374E"/>
    <w:rsid w:val="0025568D"/>
    <w:rsid w:val="00260625"/>
    <w:rsid w:val="002625CF"/>
    <w:rsid w:val="00263AD4"/>
    <w:rsid w:val="00282C96"/>
    <w:rsid w:val="00286497"/>
    <w:rsid w:val="00291774"/>
    <w:rsid w:val="002944FD"/>
    <w:rsid w:val="002A4159"/>
    <w:rsid w:val="002B21CF"/>
    <w:rsid w:val="002B3CE0"/>
    <w:rsid w:val="002B61D2"/>
    <w:rsid w:val="002C290C"/>
    <w:rsid w:val="002C5C9B"/>
    <w:rsid w:val="002D438F"/>
    <w:rsid w:val="002D67CA"/>
    <w:rsid w:val="002E40A6"/>
    <w:rsid w:val="002E62E2"/>
    <w:rsid w:val="002E6631"/>
    <w:rsid w:val="002E7193"/>
    <w:rsid w:val="002E7D13"/>
    <w:rsid w:val="002F2BE6"/>
    <w:rsid w:val="00317A17"/>
    <w:rsid w:val="00326D1C"/>
    <w:rsid w:val="00333FDB"/>
    <w:rsid w:val="00334608"/>
    <w:rsid w:val="00346A34"/>
    <w:rsid w:val="00352A29"/>
    <w:rsid w:val="00354E32"/>
    <w:rsid w:val="003644E3"/>
    <w:rsid w:val="0036577D"/>
    <w:rsid w:val="00376910"/>
    <w:rsid w:val="003A1921"/>
    <w:rsid w:val="003B3954"/>
    <w:rsid w:val="003C0B6D"/>
    <w:rsid w:val="003D2223"/>
    <w:rsid w:val="003E0597"/>
    <w:rsid w:val="003E7097"/>
    <w:rsid w:val="003F638B"/>
    <w:rsid w:val="00400A1E"/>
    <w:rsid w:val="0041320E"/>
    <w:rsid w:val="00443710"/>
    <w:rsid w:val="00454CAD"/>
    <w:rsid w:val="004719B2"/>
    <w:rsid w:val="00477FA3"/>
    <w:rsid w:val="00480301"/>
    <w:rsid w:val="00485CF4"/>
    <w:rsid w:val="0049796B"/>
    <w:rsid w:val="004A7F6B"/>
    <w:rsid w:val="004B2471"/>
    <w:rsid w:val="004C23B4"/>
    <w:rsid w:val="004C5352"/>
    <w:rsid w:val="004C56AE"/>
    <w:rsid w:val="004E243B"/>
    <w:rsid w:val="005031A2"/>
    <w:rsid w:val="005078B1"/>
    <w:rsid w:val="005130C2"/>
    <w:rsid w:val="005201B2"/>
    <w:rsid w:val="00535EDB"/>
    <w:rsid w:val="00537D64"/>
    <w:rsid w:val="00543239"/>
    <w:rsid w:val="0054438A"/>
    <w:rsid w:val="00553F9A"/>
    <w:rsid w:val="005571EA"/>
    <w:rsid w:val="00562F18"/>
    <w:rsid w:val="005639A5"/>
    <w:rsid w:val="00565C84"/>
    <w:rsid w:val="00575A93"/>
    <w:rsid w:val="00576832"/>
    <w:rsid w:val="00585259"/>
    <w:rsid w:val="00587AFD"/>
    <w:rsid w:val="00595A76"/>
    <w:rsid w:val="005976FF"/>
    <w:rsid w:val="005A363A"/>
    <w:rsid w:val="005B15A0"/>
    <w:rsid w:val="005C44D5"/>
    <w:rsid w:val="005C524F"/>
    <w:rsid w:val="005C740D"/>
    <w:rsid w:val="005D281D"/>
    <w:rsid w:val="005E364D"/>
    <w:rsid w:val="005E4E8B"/>
    <w:rsid w:val="005E5749"/>
    <w:rsid w:val="005E68A1"/>
    <w:rsid w:val="005F0166"/>
    <w:rsid w:val="005F3DB5"/>
    <w:rsid w:val="00620454"/>
    <w:rsid w:val="00627938"/>
    <w:rsid w:val="00671853"/>
    <w:rsid w:val="00671F03"/>
    <w:rsid w:val="00686582"/>
    <w:rsid w:val="00692206"/>
    <w:rsid w:val="00694BB8"/>
    <w:rsid w:val="006A2581"/>
    <w:rsid w:val="006B3E58"/>
    <w:rsid w:val="006B71BF"/>
    <w:rsid w:val="006C1754"/>
    <w:rsid w:val="006C5936"/>
    <w:rsid w:val="006D5F33"/>
    <w:rsid w:val="006E0DAD"/>
    <w:rsid w:val="006E3F9B"/>
    <w:rsid w:val="006F1AE4"/>
    <w:rsid w:val="006F2989"/>
    <w:rsid w:val="006F2C88"/>
    <w:rsid w:val="006F7764"/>
    <w:rsid w:val="0070577D"/>
    <w:rsid w:val="00713882"/>
    <w:rsid w:val="00714A0B"/>
    <w:rsid w:val="00714C00"/>
    <w:rsid w:val="00722C35"/>
    <w:rsid w:val="00730179"/>
    <w:rsid w:val="007330A7"/>
    <w:rsid w:val="007370BE"/>
    <w:rsid w:val="00742335"/>
    <w:rsid w:val="007428B8"/>
    <w:rsid w:val="007468FF"/>
    <w:rsid w:val="0075631D"/>
    <w:rsid w:val="007564E7"/>
    <w:rsid w:val="007654F7"/>
    <w:rsid w:val="00765862"/>
    <w:rsid w:val="007663E5"/>
    <w:rsid w:val="0077194F"/>
    <w:rsid w:val="007723E0"/>
    <w:rsid w:val="007970C4"/>
    <w:rsid w:val="007B2E9D"/>
    <w:rsid w:val="007B57BC"/>
    <w:rsid w:val="007C02EA"/>
    <w:rsid w:val="007F2342"/>
    <w:rsid w:val="007F735B"/>
    <w:rsid w:val="007F7607"/>
    <w:rsid w:val="00804381"/>
    <w:rsid w:val="00805336"/>
    <w:rsid w:val="00806FA6"/>
    <w:rsid w:val="00810D7E"/>
    <w:rsid w:val="00811955"/>
    <w:rsid w:val="00811E1F"/>
    <w:rsid w:val="00812C90"/>
    <w:rsid w:val="00825BAA"/>
    <w:rsid w:val="0083327A"/>
    <w:rsid w:val="008410D0"/>
    <w:rsid w:val="008435DE"/>
    <w:rsid w:val="00843CBB"/>
    <w:rsid w:val="00844B2D"/>
    <w:rsid w:val="00862D40"/>
    <w:rsid w:val="008637D7"/>
    <w:rsid w:val="00866FCC"/>
    <w:rsid w:val="00875960"/>
    <w:rsid w:val="008961FB"/>
    <w:rsid w:val="008A02B4"/>
    <w:rsid w:val="008A3167"/>
    <w:rsid w:val="008A68C8"/>
    <w:rsid w:val="008C1741"/>
    <w:rsid w:val="008C5E1B"/>
    <w:rsid w:val="008F05AD"/>
    <w:rsid w:val="008F5823"/>
    <w:rsid w:val="00903772"/>
    <w:rsid w:val="00905A72"/>
    <w:rsid w:val="00906206"/>
    <w:rsid w:val="0090747B"/>
    <w:rsid w:val="009159C6"/>
    <w:rsid w:val="00916F67"/>
    <w:rsid w:val="00917C2F"/>
    <w:rsid w:val="00917E54"/>
    <w:rsid w:val="009230D1"/>
    <w:rsid w:val="00924E22"/>
    <w:rsid w:val="00937F9A"/>
    <w:rsid w:val="0095654C"/>
    <w:rsid w:val="00962E19"/>
    <w:rsid w:val="009658D3"/>
    <w:rsid w:val="009800F1"/>
    <w:rsid w:val="009874DD"/>
    <w:rsid w:val="0099156A"/>
    <w:rsid w:val="0099338A"/>
    <w:rsid w:val="009A248F"/>
    <w:rsid w:val="009C2AAC"/>
    <w:rsid w:val="009C31A8"/>
    <w:rsid w:val="009D0637"/>
    <w:rsid w:val="009D141C"/>
    <w:rsid w:val="009D186E"/>
    <w:rsid w:val="009D204A"/>
    <w:rsid w:val="009E2887"/>
    <w:rsid w:val="009F0A27"/>
    <w:rsid w:val="009F17B7"/>
    <w:rsid w:val="00A0385D"/>
    <w:rsid w:val="00A055BE"/>
    <w:rsid w:val="00A0601F"/>
    <w:rsid w:val="00A20736"/>
    <w:rsid w:val="00A23206"/>
    <w:rsid w:val="00A327A0"/>
    <w:rsid w:val="00A32996"/>
    <w:rsid w:val="00A37927"/>
    <w:rsid w:val="00A41ADB"/>
    <w:rsid w:val="00A438B6"/>
    <w:rsid w:val="00A44592"/>
    <w:rsid w:val="00A55900"/>
    <w:rsid w:val="00A604C8"/>
    <w:rsid w:val="00A77F0F"/>
    <w:rsid w:val="00A85ED9"/>
    <w:rsid w:val="00A92241"/>
    <w:rsid w:val="00A949AD"/>
    <w:rsid w:val="00A950CE"/>
    <w:rsid w:val="00AA3C12"/>
    <w:rsid w:val="00AA5465"/>
    <w:rsid w:val="00AB228A"/>
    <w:rsid w:val="00AB4ACA"/>
    <w:rsid w:val="00AB6521"/>
    <w:rsid w:val="00AD4480"/>
    <w:rsid w:val="00AD67A4"/>
    <w:rsid w:val="00AF39EE"/>
    <w:rsid w:val="00AF3E9B"/>
    <w:rsid w:val="00AF4622"/>
    <w:rsid w:val="00B06C3D"/>
    <w:rsid w:val="00B15921"/>
    <w:rsid w:val="00B165FB"/>
    <w:rsid w:val="00B26CCA"/>
    <w:rsid w:val="00B4013A"/>
    <w:rsid w:val="00B435D7"/>
    <w:rsid w:val="00B52173"/>
    <w:rsid w:val="00B617EC"/>
    <w:rsid w:val="00B62615"/>
    <w:rsid w:val="00B62732"/>
    <w:rsid w:val="00B663DC"/>
    <w:rsid w:val="00B7186C"/>
    <w:rsid w:val="00B72D30"/>
    <w:rsid w:val="00B76071"/>
    <w:rsid w:val="00B81A05"/>
    <w:rsid w:val="00B83A33"/>
    <w:rsid w:val="00B9501A"/>
    <w:rsid w:val="00BB6300"/>
    <w:rsid w:val="00BC39B8"/>
    <w:rsid w:val="00BC5CBD"/>
    <w:rsid w:val="00BC7BF6"/>
    <w:rsid w:val="00BD58A4"/>
    <w:rsid w:val="00BE29B3"/>
    <w:rsid w:val="00BE3671"/>
    <w:rsid w:val="00BE6D5E"/>
    <w:rsid w:val="00C0661E"/>
    <w:rsid w:val="00C07670"/>
    <w:rsid w:val="00C1113A"/>
    <w:rsid w:val="00C13128"/>
    <w:rsid w:val="00C30C19"/>
    <w:rsid w:val="00C41926"/>
    <w:rsid w:val="00C50600"/>
    <w:rsid w:val="00C51DFD"/>
    <w:rsid w:val="00C5227A"/>
    <w:rsid w:val="00C61CB7"/>
    <w:rsid w:val="00C623DA"/>
    <w:rsid w:val="00C62406"/>
    <w:rsid w:val="00C626DA"/>
    <w:rsid w:val="00C63E6E"/>
    <w:rsid w:val="00C818A2"/>
    <w:rsid w:val="00C81BFA"/>
    <w:rsid w:val="00C90E48"/>
    <w:rsid w:val="00CA2474"/>
    <w:rsid w:val="00CA468A"/>
    <w:rsid w:val="00CB2D14"/>
    <w:rsid w:val="00CC17E6"/>
    <w:rsid w:val="00CC3016"/>
    <w:rsid w:val="00CC3CCB"/>
    <w:rsid w:val="00CD5916"/>
    <w:rsid w:val="00CE3F61"/>
    <w:rsid w:val="00CE67AB"/>
    <w:rsid w:val="00CF082A"/>
    <w:rsid w:val="00CF2AFC"/>
    <w:rsid w:val="00CF2D9B"/>
    <w:rsid w:val="00CF3F2A"/>
    <w:rsid w:val="00D01C8B"/>
    <w:rsid w:val="00D05C94"/>
    <w:rsid w:val="00D07F62"/>
    <w:rsid w:val="00D15EEC"/>
    <w:rsid w:val="00D2672B"/>
    <w:rsid w:val="00D319BD"/>
    <w:rsid w:val="00D33991"/>
    <w:rsid w:val="00D33BB0"/>
    <w:rsid w:val="00D44B59"/>
    <w:rsid w:val="00D52010"/>
    <w:rsid w:val="00D52C32"/>
    <w:rsid w:val="00D57D50"/>
    <w:rsid w:val="00D626C1"/>
    <w:rsid w:val="00D64C9A"/>
    <w:rsid w:val="00D65A50"/>
    <w:rsid w:val="00D725E0"/>
    <w:rsid w:val="00D747A8"/>
    <w:rsid w:val="00D74AA3"/>
    <w:rsid w:val="00D74B7B"/>
    <w:rsid w:val="00D8097D"/>
    <w:rsid w:val="00D904A6"/>
    <w:rsid w:val="00D92E83"/>
    <w:rsid w:val="00D9394E"/>
    <w:rsid w:val="00D94949"/>
    <w:rsid w:val="00DA19E4"/>
    <w:rsid w:val="00DC14A3"/>
    <w:rsid w:val="00DD1F85"/>
    <w:rsid w:val="00DE7D2B"/>
    <w:rsid w:val="00DF72E1"/>
    <w:rsid w:val="00E14F54"/>
    <w:rsid w:val="00E20945"/>
    <w:rsid w:val="00E2197B"/>
    <w:rsid w:val="00E30936"/>
    <w:rsid w:val="00E3258B"/>
    <w:rsid w:val="00E4082D"/>
    <w:rsid w:val="00E43774"/>
    <w:rsid w:val="00E6388E"/>
    <w:rsid w:val="00E640EB"/>
    <w:rsid w:val="00E70D0E"/>
    <w:rsid w:val="00E820F9"/>
    <w:rsid w:val="00E86F90"/>
    <w:rsid w:val="00E910D4"/>
    <w:rsid w:val="00E917F6"/>
    <w:rsid w:val="00E932AB"/>
    <w:rsid w:val="00E9754F"/>
    <w:rsid w:val="00EA4E83"/>
    <w:rsid w:val="00EA79FA"/>
    <w:rsid w:val="00EB133C"/>
    <w:rsid w:val="00EB63C8"/>
    <w:rsid w:val="00ED10AD"/>
    <w:rsid w:val="00EE5BEA"/>
    <w:rsid w:val="00EE6D6F"/>
    <w:rsid w:val="00EE6ED1"/>
    <w:rsid w:val="00EF08AA"/>
    <w:rsid w:val="00F00E1A"/>
    <w:rsid w:val="00F16C15"/>
    <w:rsid w:val="00F23685"/>
    <w:rsid w:val="00F33F5C"/>
    <w:rsid w:val="00F35FF6"/>
    <w:rsid w:val="00F36B78"/>
    <w:rsid w:val="00F41619"/>
    <w:rsid w:val="00F44316"/>
    <w:rsid w:val="00F45EF7"/>
    <w:rsid w:val="00F4640A"/>
    <w:rsid w:val="00F549BD"/>
    <w:rsid w:val="00F563A3"/>
    <w:rsid w:val="00F608A8"/>
    <w:rsid w:val="00F85352"/>
    <w:rsid w:val="00F93DD0"/>
    <w:rsid w:val="00FA068A"/>
    <w:rsid w:val="00FA6779"/>
    <w:rsid w:val="00FB4310"/>
    <w:rsid w:val="00FC4A60"/>
    <w:rsid w:val="00FD3384"/>
    <w:rsid w:val="00FF0BA3"/>
    <w:rsid w:val="00FF0D77"/>
    <w:rsid w:val="00FF130C"/>
    <w:rsid w:val="00FF1BFD"/>
    <w:rsid w:val="00FF620E"/>
    <w:rsid w:val="00FF6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88595"/>
  <w15:chartTrackingRefBased/>
  <w15:docId w15:val="{71133D20-09AB-459B-B5C0-37B534AF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8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38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38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38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38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38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8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8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8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8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38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38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38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38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38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8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8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88E"/>
    <w:rPr>
      <w:rFonts w:eastAsiaTheme="majorEastAsia" w:cstheme="majorBidi"/>
      <w:color w:val="272727" w:themeColor="text1" w:themeTint="D8"/>
    </w:rPr>
  </w:style>
  <w:style w:type="paragraph" w:styleId="Title">
    <w:name w:val="Title"/>
    <w:basedOn w:val="Normal"/>
    <w:next w:val="Normal"/>
    <w:link w:val="TitleChar"/>
    <w:uiPriority w:val="10"/>
    <w:qFormat/>
    <w:rsid w:val="00E63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8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8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88E"/>
    <w:pPr>
      <w:spacing w:before="160"/>
      <w:jc w:val="center"/>
    </w:pPr>
    <w:rPr>
      <w:i/>
      <w:iCs/>
      <w:color w:val="404040" w:themeColor="text1" w:themeTint="BF"/>
    </w:rPr>
  </w:style>
  <w:style w:type="character" w:customStyle="1" w:styleId="QuoteChar">
    <w:name w:val="Quote Char"/>
    <w:basedOn w:val="DefaultParagraphFont"/>
    <w:link w:val="Quote"/>
    <w:uiPriority w:val="29"/>
    <w:rsid w:val="00E6388E"/>
    <w:rPr>
      <w:i/>
      <w:iCs/>
      <w:color w:val="404040" w:themeColor="text1" w:themeTint="BF"/>
    </w:rPr>
  </w:style>
  <w:style w:type="paragraph" w:styleId="ListParagraph">
    <w:name w:val="List Paragraph"/>
    <w:basedOn w:val="Normal"/>
    <w:uiPriority w:val="34"/>
    <w:qFormat/>
    <w:rsid w:val="00E6388E"/>
    <w:pPr>
      <w:ind w:left="720"/>
      <w:contextualSpacing/>
    </w:pPr>
  </w:style>
  <w:style w:type="character" w:styleId="IntenseEmphasis">
    <w:name w:val="Intense Emphasis"/>
    <w:basedOn w:val="DefaultParagraphFont"/>
    <w:uiPriority w:val="21"/>
    <w:qFormat/>
    <w:rsid w:val="00E6388E"/>
    <w:rPr>
      <w:i/>
      <w:iCs/>
      <w:color w:val="0F4761" w:themeColor="accent1" w:themeShade="BF"/>
    </w:rPr>
  </w:style>
  <w:style w:type="paragraph" w:styleId="IntenseQuote">
    <w:name w:val="Intense Quote"/>
    <w:basedOn w:val="Normal"/>
    <w:next w:val="Normal"/>
    <w:link w:val="IntenseQuoteChar"/>
    <w:uiPriority w:val="30"/>
    <w:qFormat/>
    <w:rsid w:val="00E638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388E"/>
    <w:rPr>
      <w:i/>
      <w:iCs/>
      <w:color w:val="0F4761" w:themeColor="accent1" w:themeShade="BF"/>
    </w:rPr>
  </w:style>
  <w:style w:type="character" w:styleId="IntenseReference">
    <w:name w:val="Intense Reference"/>
    <w:basedOn w:val="DefaultParagraphFont"/>
    <w:uiPriority w:val="32"/>
    <w:qFormat/>
    <w:rsid w:val="00E6388E"/>
    <w:rPr>
      <w:b/>
      <w:bCs/>
      <w:smallCaps/>
      <w:color w:val="0F4761" w:themeColor="accent1" w:themeShade="BF"/>
      <w:spacing w:val="5"/>
    </w:rPr>
  </w:style>
  <w:style w:type="paragraph" w:styleId="BodyText">
    <w:name w:val="Body Text"/>
    <w:basedOn w:val="Normal"/>
    <w:link w:val="BodyTextChar"/>
    <w:uiPriority w:val="1"/>
    <w:qFormat/>
    <w:rsid w:val="0077194F"/>
    <w:pPr>
      <w:widowControl w:val="0"/>
      <w:autoSpaceDE w:val="0"/>
      <w:autoSpaceDN w:val="0"/>
      <w:spacing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77194F"/>
    <w:rPr>
      <w:rFonts w:ascii="Arial" w:eastAsia="Arial" w:hAnsi="Arial" w:cs="Arial"/>
      <w:kern w:val="0"/>
      <w14:ligatures w14:val="none"/>
    </w:rPr>
  </w:style>
  <w:style w:type="paragraph" w:styleId="TOC1">
    <w:name w:val="toc 1"/>
    <w:basedOn w:val="Normal"/>
    <w:uiPriority w:val="39"/>
    <w:qFormat/>
    <w:rsid w:val="000013C6"/>
    <w:pPr>
      <w:widowControl w:val="0"/>
      <w:autoSpaceDE w:val="0"/>
      <w:autoSpaceDN w:val="0"/>
      <w:spacing w:before="736" w:after="0" w:line="240" w:lineRule="auto"/>
      <w:ind w:left="120"/>
    </w:pPr>
    <w:rPr>
      <w:rFonts w:ascii="Times New Roman" w:eastAsia="Times New Roman" w:hAnsi="Times New Roman" w:cs="Times New Roman"/>
      <w:b/>
      <w:bCs/>
      <w:kern w:val="0"/>
      <w:sz w:val="32"/>
      <w:szCs w:val="32"/>
      <w14:ligatures w14:val="none"/>
    </w:rPr>
  </w:style>
  <w:style w:type="character" w:styleId="Hyperlink">
    <w:name w:val="Hyperlink"/>
    <w:basedOn w:val="DefaultParagraphFont"/>
    <w:uiPriority w:val="99"/>
    <w:unhideWhenUsed/>
    <w:rsid w:val="00805336"/>
    <w:rPr>
      <w:color w:val="467886" w:themeColor="hyperlink"/>
      <w:u w:val="single"/>
    </w:rPr>
  </w:style>
  <w:style w:type="character" w:styleId="UnresolvedMention">
    <w:name w:val="Unresolved Mention"/>
    <w:basedOn w:val="DefaultParagraphFont"/>
    <w:uiPriority w:val="99"/>
    <w:semiHidden/>
    <w:unhideWhenUsed/>
    <w:rsid w:val="00805336"/>
    <w:rPr>
      <w:color w:val="605E5C"/>
      <w:shd w:val="clear" w:color="auto" w:fill="E1DFDD"/>
    </w:rPr>
  </w:style>
  <w:style w:type="paragraph" w:styleId="NormalWeb">
    <w:name w:val="Normal (Web)"/>
    <w:basedOn w:val="Normal"/>
    <w:uiPriority w:val="99"/>
    <w:semiHidden/>
    <w:unhideWhenUsed/>
    <w:rsid w:val="003D2223"/>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544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23206"/>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A23206"/>
    <w:pPr>
      <w:spacing w:after="100" w:line="259" w:lineRule="auto"/>
      <w:ind w:left="220"/>
    </w:pPr>
    <w:rPr>
      <w:rFonts w:eastAsiaTheme="minorEastAsia" w:cs="Times New Roman"/>
      <w:kern w:val="0"/>
      <w:sz w:val="22"/>
      <w:szCs w:val="22"/>
      <w14:ligatures w14:val="none"/>
    </w:rPr>
  </w:style>
  <w:style w:type="paragraph" w:styleId="TOC3">
    <w:name w:val="toc 3"/>
    <w:basedOn w:val="Normal"/>
    <w:next w:val="Normal"/>
    <w:autoRedefine/>
    <w:uiPriority w:val="39"/>
    <w:unhideWhenUsed/>
    <w:rsid w:val="00A23206"/>
    <w:pPr>
      <w:spacing w:after="100" w:line="259" w:lineRule="auto"/>
      <w:ind w:left="440"/>
    </w:pPr>
    <w:rPr>
      <w:rFonts w:eastAsiaTheme="minorEastAsia" w:cs="Times New Roman"/>
      <w:kern w:val="0"/>
      <w:sz w:val="22"/>
      <w:szCs w:val="22"/>
      <w14:ligatures w14:val="none"/>
    </w:rPr>
  </w:style>
  <w:style w:type="numbering" w:customStyle="1" w:styleId="CurrentList1">
    <w:name w:val="Current List1"/>
    <w:uiPriority w:val="99"/>
    <w:rsid w:val="00D319BD"/>
    <w:pPr>
      <w:numPr>
        <w:numId w:val="47"/>
      </w:numPr>
    </w:pPr>
  </w:style>
  <w:style w:type="character" w:styleId="Strong">
    <w:name w:val="Strong"/>
    <w:basedOn w:val="DefaultParagraphFont"/>
    <w:uiPriority w:val="22"/>
    <w:qFormat/>
    <w:rsid w:val="00FB4310"/>
    <w:rPr>
      <w:b/>
      <w:bCs/>
    </w:rPr>
  </w:style>
  <w:style w:type="paragraph" w:styleId="Header">
    <w:name w:val="header"/>
    <w:basedOn w:val="Normal"/>
    <w:link w:val="HeaderChar"/>
    <w:uiPriority w:val="99"/>
    <w:unhideWhenUsed/>
    <w:rsid w:val="00694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BB8"/>
  </w:style>
  <w:style w:type="paragraph" w:styleId="Footer">
    <w:name w:val="footer"/>
    <w:basedOn w:val="Normal"/>
    <w:link w:val="FooterChar"/>
    <w:uiPriority w:val="99"/>
    <w:unhideWhenUsed/>
    <w:rsid w:val="00694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eginfo.legislature.ca.gov/faces/codes_displaySection.xhtml?sectionNum=78220.&amp;lawCode=EDC" TargetMode="External"/><Relationship Id="rId18" Type="http://schemas.openxmlformats.org/officeDocument/2006/relationships/hyperlink" Target="mailto:gcontreras@sbccd.cc.ca.us"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mailto:ygutierrezs@sbccd.cc.ca.us"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eginfo.legislature.ca.gov/faces/codes_displaySection.xhtml?sectionNum=78220.&amp;lawCode=EDC" TargetMode="External"/><Relationship Id="rId17" Type="http://schemas.openxmlformats.org/officeDocument/2006/relationships/hyperlink" Target="mailto:mcota@sbccd.cc.ca.us" TargetMode="External"/><Relationship Id="rId25" Type="http://schemas.openxmlformats.org/officeDocument/2006/relationships/image" Target="media/image3.png"/><Relationship Id="rId33"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hyperlink" Target="mailto:marodrig@sbccd.cc.ca.us" TargetMode="External"/><Relationship Id="rId20" Type="http://schemas.openxmlformats.org/officeDocument/2006/relationships/hyperlink" Target="mailto:lhector@sbccd.cc.ca.us"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nfo.legislature.ca.gov/faces/codes_displaySection.xhtml?sectionNum=78221.&amp;lawCode=EDC" TargetMode="External"/><Relationship Id="rId24" Type="http://schemas.openxmlformats.org/officeDocument/2006/relationships/image" Target="media/image2.png"/><Relationship Id="rId32"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https://leginfo.legislature.ca.gov/faces/codes_displaySection.xhtml?sectionNum=78220.&amp;lawCode=EDC" TargetMode="External"/><Relationship Id="rId23" Type="http://schemas.openxmlformats.org/officeDocument/2006/relationships/hyperlink" Target="mailto:ahecht@sbccd.cc.ca.us" TargetMode="External"/><Relationship Id="rId28" Type="http://schemas.openxmlformats.org/officeDocument/2006/relationships/image" Target="media/image6.png"/><Relationship Id="rId36" Type="http://schemas.openxmlformats.org/officeDocument/2006/relationships/theme" Target="theme/theme1.xml"/><Relationship Id="rId10" Type="http://schemas.openxmlformats.org/officeDocument/2006/relationships/hyperlink" Target="https://leginfo.legislature.ca.gov/faces/codes_displaySection.xhtml?lawCode=EDC%C2%A7ionNum%3D78222" TargetMode="External"/><Relationship Id="rId19" Type="http://schemas.openxmlformats.org/officeDocument/2006/relationships/hyperlink" Target="mailto:ssutorus@sbccd.cc.ca.us" TargetMode="External"/><Relationship Id="rId31"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leginfo.legislature.ca.gov/faces/codes_displaySection.xhtml?sectionNum=78220.&amp;lawCode=EDC" TargetMode="External"/><Relationship Id="rId14" Type="http://schemas.openxmlformats.org/officeDocument/2006/relationships/hyperlink" Target="https://static1.squarespace.com/static/5eaa4d35e410122070755695/t/6725247c8d7b7c6101f97be7/1730487420392/SEPI+Lessons+on+Race+Conscious+Planning_FINAL.pdf" TargetMode="External"/><Relationship Id="rId22" Type="http://schemas.openxmlformats.org/officeDocument/2006/relationships/hyperlink" Target="mailto:pquach@sbccd.cc.ca.us" TargetMode="Externa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64890-D68D-4EA7-B3CD-92C329BCC760}">
  <ds:schemaRefs>
    <ds:schemaRef ds:uri="http://schemas.openxmlformats.org/officeDocument/2006/bibliography"/>
  </ds:schemaRefs>
</ds:datastoreItem>
</file>

<file path=docMetadata/LabelInfo.xml><?xml version="1.0" encoding="utf-8"?>
<clbl:labelList xmlns:clbl="http://schemas.microsoft.com/office/2020/mipLabelMetadata">
  <clbl:label id="{c6e17ab0-d9c7-43e4-b85d-f29d7eca34a3}" enabled="1" method="Standard" siteId="{f6bb5689-1cd5-404a-b451-f35991b30e09}"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49</Pages>
  <Words>9118</Words>
  <Characters>60270</Characters>
  <Application>Microsoft Office Word</Application>
  <DocSecurity>0</DocSecurity>
  <Lines>1435</Lines>
  <Paragraphs>468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Maria Del Carmen</dc:creator>
  <cp:keywords/>
  <dc:description/>
  <cp:lastModifiedBy>Rodriguez, Maria Del Carmen</cp:lastModifiedBy>
  <cp:revision>4</cp:revision>
  <dcterms:created xsi:type="dcterms:W3CDTF">2025-11-15T21:41:00Z</dcterms:created>
  <dcterms:modified xsi:type="dcterms:W3CDTF">2025-11-15T21:50:00Z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209e22b5-4c72-49ee-b490-8aa1cf6eca20</vt:lpwstr>
  </property>
</Properties>
</file>