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E717" w14:textId="60213B4D" w:rsidR="008B1717" w:rsidRPr="00563458" w:rsidRDefault="008B1717">
      <w:pPr>
        <w:rPr>
          <w:b/>
          <w:bCs/>
          <w:sz w:val="36"/>
          <w:szCs w:val="36"/>
        </w:rPr>
      </w:pPr>
      <w:r w:rsidRPr="00563458">
        <w:rPr>
          <w:b/>
          <w:bCs/>
          <w:sz w:val="36"/>
          <w:szCs w:val="36"/>
        </w:rPr>
        <w:t>2024-2025 Year-End Committee Report</w:t>
      </w:r>
    </w:p>
    <w:p w14:paraId="1E1D50A9" w14:textId="744AAD6D" w:rsidR="008B1717" w:rsidRPr="00563458" w:rsidRDefault="008B1717">
      <w:pPr>
        <w:rPr>
          <w:b/>
          <w:bCs/>
          <w:sz w:val="36"/>
          <w:szCs w:val="36"/>
        </w:rPr>
      </w:pPr>
      <w:r w:rsidRPr="00563458">
        <w:rPr>
          <w:b/>
          <w:bCs/>
          <w:sz w:val="36"/>
          <w:szCs w:val="36"/>
        </w:rPr>
        <w:t xml:space="preserve">Guided Pathways </w:t>
      </w:r>
    </w:p>
    <w:p w14:paraId="19A6DDF8" w14:textId="78915CAE" w:rsidR="008B1717" w:rsidRPr="00563458" w:rsidRDefault="008B1717">
      <w:r w:rsidRPr="00563458">
        <w:t xml:space="preserve">In effort to fulfill </w:t>
      </w:r>
      <w:r w:rsidRPr="00563458">
        <w:rPr>
          <w:b/>
          <w:bCs/>
        </w:rPr>
        <w:t>Article XV in the Senate’s bylaws</w:t>
      </w:r>
      <w:r w:rsidRPr="00563458">
        <w:t xml:space="preserve">, the following </w:t>
      </w:r>
      <w:r w:rsidRPr="00563458">
        <w:rPr>
          <w:b/>
          <w:bCs/>
        </w:rPr>
        <w:t>annual report</w:t>
      </w:r>
      <w:r w:rsidRPr="00563458">
        <w:t xml:space="preserve"> is being submitted to </w:t>
      </w:r>
      <w:r w:rsidR="00563458" w:rsidRPr="00563458">
        <w:t>the Academic</w:t>
      </w:r>
      <w:r w:rsidRPr="00563458">
        <w:t xml:space="preserve"> Senate on behalf of the Faculty Co-Leads for the </w:t>
      </w:r>
      <w:r w:rsidRPr="00563458">
        <w:rPr>
          <w:b/>
          <w:bCs/>
        </w:rPr>
        <w:t>Guided Pathways Standing Committee</w:t>
      </w:r>
      <w:r w:rsidRPr="00563458">
        <w:t xml:space="preserve"> (</w:t>
      </w:r>
      <w:r w:rsidRPr="00563458">
        <w:rPr>
          <w:i/>
          <w:iCs/>
        </w:rPr>
        <w:t>Lucas Cuny and Keenan Giles</w:t>
      </w:r>
      <w:r w:rsidRPr="00563458">
        <w:t xml:space="preserve">) </w:t>
      </w:r>
    </w:p>
    <w:p w14:paraId="0EF9283E" w14:textId="027645DB" w:rsidR="008B1717" w:rsidRPr="00563458" w:rsidRDefault="008B1717">
      <w:pPr>
        <w:rPr>
          <w:color w:val="121212"/>
          <w:shd w:val="clear" w:color="auto" w:fill="FFFFFF"/>
        </w:rPr>
      </w:pPr>
      <w:r w:rsidRPr="00563458">
        <w:rPr>
          <w:b/>
          <w:bCs/>
          <w:color w:val="121212"/>
          <w:shd w:val="clear" w:color="auto" w:fill="FFFFFF"/>
        </w:rPr>
        <w:t>Guided Pathways</w:t>
      </w:r>
      <w:r w:rsidRPr="00563458">
        <w:rPr>
          <w:color w:val="121212"/>
          <w:shd w:val="clear" w:color="auto" w:fill="FFFFFF"/>
        </w:rPr>
        <w:t xml:space="preserve"> is a whole-college redesign model designed to help all students explore, choose, plan, and complete programs aligned with their career and education goals efficiently and affordably. It is an equity-focused framework that allows us to forge clear paths for students and remove systemic obstacles to their success. </w:t>
      </w:r>
      <w:r w:rsidRPr="00563458">
        <w:rPr>
          <w:b/>
          <w:bCs/>
          <w:color w:val="121212"/>
          <w:shd w:val="clear" w:color="auto" w:fill="FFFFFF"/>
        </w:rPr>
        <w:t>The Student Equity and Achievement (SEA) Program requires colleges to implement the Guided Pathways framework.</w:t>
      </w:r>
    </w:p>
    <w:p w14:paraId="72BBBA6B" w14:textId="77777777" w:rsidR="008B1717" w:rsidRPr="008B1717" w:rsidRDefault="008B1717" w:rsidP="008B1717">
      <w:pPr>
        <w:shd w:val="clear" w:color="auto" w:fill="FFFFFF"/>
        <w:spacing w:after="100" w:afterAutospacing="1" w:line="240" w:lineRule="auto"/>
        <w:outlineLvl w:val="1"/>
        <w:rPr>
          <w:rFonts w:eastAsia="Times New Roman" w:cs="Times New Roman"/>
          <w:b/>
          <w:bCs/>
          <w:color w:val="121212"/>
          <w:kern w:val="0"/>
          <w:sz w:val="36"/>
          <w:szCs w:val="36"/>
          <w14:ligatures w14:val="none"/>
        </w:rPr>
      </w:pPr>
      <w:r w:rsidRPr="008B1717">
        <w:rPr>
          <w:rFonts w:eastAsia="Times New Roman" w:cs="Times New Roman"/>
          <w:b/>
          <w:bCs/>
          <w:color w:val="121212"/>
          <w:kern w:val="0"/>
          <w:sz w:val="36"/>
          <w:szCs w:val="36"/>
          <w14:ligatures w14:val="none"/>
        </w:rPr>
        <w:t>Student Equity and Achievement (SEA) Metrics</w:t>
      </w:r>
    </w:p>
    <w:p w14:paraId="26EB8FC3" w14:textId="77777777" w:rsidR="008B1717" w:rsidRPr="008B1717" w:rsidRDefault="008B1717" w:rsidP="008B1717">
      <w:pPr>
        <w:shd w:val="clear" w:color="auto" w:fill="FFFFFF"/>
        <w:spacing w:after="100" w:afterAutospacing="1" w:line="240" w:lineRule="auto"/>
        <w:rPr>
          <w:rFonts w:eastAsia="Times New Roman" w:cs="Times New Roman"/>
          <w:color w:val="121212"/>
          <w:kern w:val="0"/>
          <w14:ligatures w14:val="none"/>
        </w:rPr>
      </w:pPr>
      <w:r w:rsidRPr="008B1717">
        <w:rPr>
          <w:rFonts w:eastAsia="Times New Roman" w:cs="Times New Roman"/>
          <w:color w:val="121212"/>
          <w:kern w:val="0"/>
          <w14:ligatures w14:val="none"/>
        </w:rPr>
        <w:t xml:space="preserve">In </w:t>
      </w:r>
      <w:r w:rsidRPr="008B1717">
        <w:rPr>
          <w:rFonts w:eastAsia="Times New Roman" w:cs="Times New Roman"/>
          <w:b/>
          <w:bCs/>
          <w:color w:val="121212"/>
          <w:kern w:val="0"/>
          <w14:ligatures w14:val="none"/>
        </w:rPr>
        <w:t>2018</w:t>
      </w:r>
      <w:r w:rsidRPr="008B1717">
        <w:rPr>
          <w:rFonts w:eastAsia="Times New Roman" w:cs="Times New Roman"/>
          <w:color w:val="121212"/>
          <w:kern w:val="0"/>
          <w14:ligatures w14:val="none"/>
        </w:rPr>
        <w:t>, the Student Equity and Achievement (SEA) Program was established by the California Community Colleges Chancellor's Office</w:t>
      </w:r>
      <w:r w:rsidRPr="008B1717">
        <w:rPr>
          <w:rFonts w:eastAsia="Times New Roman" w:cs="Times New Roman"/>
          <w:b/>
          <w:bCs/>
          <w:color w:val="121212"/>
          <w:kern w:val="0"/>
          <w14:ligatures w14:val="none"/>
        </w:rPr>
        <w:t xml:space="preserve">. It merged funding for three initiatives: the </w:t>
      </w:r>
      <w:r w:rsidRPr="008B1717">
        <w:rPr>
          <w:rFonts w:eastAsia="Times New Roman" w:cs="Times New Roman"/>
          <w:b/>
          <w:bCs/>
          <w:color w:val="121212"/>
          <w:kern w:val="0"/>
          <w:u w:val="single"/>
          <w14:ligatures w14:val="none"/>
        </w:rPr>
        <w:t xml:space="preserve">Student Success and Support Program; </w:t>
      </w:r>
      <w:r w:rsidRPr="008B1717">
        <w:rPr>
          <w:rFonts w:eastAsia="Times New Roman" w:cs="Times New Roman"/>
          <w:b/>
          <w:bCs/>
          <w:color w:val="121212"/>
          <w:kern w:val="0"/>
          <w14:ligatures w14:val="none"/>
        </w:rPr>
        <w:t xml:space="preserve">the </w:t>
      </w:r>
      <w:r w:rsidRPr="008B1717">
        <w:rPr>
          <w:rFonts w:eastAsia="Times New Roman" w:cs="Times New Roman"/>
          <w:b/>
          <w:bCs/>
          <w:color w:val="121212"/>
          <w:kern w:val="0"/>
          <w:u w:val="single"/>
          <w14:ligatures w14:val="none"/>
        </w:rPr>
        <w:t>Basic Skills Initiative</w:t>
      </w:r>
      <w:r w:rsidRPr="008B1717">
        <w:rPr>
          <w:rFonts w:eastAsia="Times New Roman" w:cs="Times New Roman"/>
          <w:b/>
          <w:bCs/>
          <w:color w:val="121212"/>
          <w:kern w:val="0"/>
          <w14:ligatures w14:val="none"/>
        </w:rPr>
        <w:t xml:space="preserve">; and </w:t>
      </w:r>
      <w:r w:rsidRPr="008B1717">
        <w:rPr>
          <w:rFonts w:eastAsia="Times New Roman" w:cs="Times New Roman"/>
          <w:b/>
          <w:bCs/>
          <w:color w:val="121212"/>
          <w:kern w:val="0"/>
          <w:u w:val="single"/>
          <w14:ligatures w14:val="none"/>
        </w:rPr>
        <w:t>Student Equity</w:t>
      </w:r>
      <w:r w:rsidRPr="008B1717">
        <w:rPr>
          <w:rFonts w:eastAsia="Times New Roman" w:cs="Times New Roman"/>
          <w:b/>
          <w:bCs/>
          <w:color w:val="121212"/>
          <w:kern w:val="0"/>
          <w14:ligatures w14:val="none"/>
        </w:rPr>
        <w:t>.</w:t>
      </w:r>
      <w:r w:rsidRPr="008B1717">
        <w:rPr>
          <w:rFonts w:eastAsia="Times New Roman" w:cs="Times New Roman"/>
          <w:color w:val="121212"/>
          <w:kern w:val="0"/>
          <w14:ligatures w14:val="none"/>
        </w:rPr>
        <w:t xml:space="preserve"> Integrating these efforts into a single program advances our goal of demolishing once and for all the achievement gaps for students from traditionally underrepresented populations.</w:t>
      </w:r>
    </w:p>
    <w:p w14:paraId="35F6ED1A" w14:textId="77777777" w:rsidR="008B1717" w:rsidRPr="008B1717" w:rsidRDefault="008B1717" w:rsidP="008B1717">
      <w:pPr>
        <w:shd w:val="clear" w:color="auto" w:fill="FFFFFF"/>
        <w:spacing w:after="100" w:afterAutospacing="1" w:line="240" w:lineRule="auto"/>
        <w:rPr>
          <w:rFonts w:eastAsia="Times New Roman" w:cs="Times New Roman"/>
          <w:color w:val="121212"/>
          <w:kern w:val="0"/>
          <w14:ligatures w14:val="none"/>
        </w:rPr>
      </w:pPr>
      <w:r w:rsidRPr="008B1717">
        <w:rPr>
          <w:rFonts w:eastAsia="Times New Roman" w:cs="Times New Roman"/>
          <w:b/>
          <w:bCs/>
          <w:color w:val="121212"/>
          <w:kern w:val="0"/>
          <w14:ligatures w14:val="none"/>
        </w:rPr>
        <w:t>Under the SEA Program, colleges are required to implement the Guided Pathways framework offering a clear path to a stated goal, to provide all students with an education plan based on that goal, and to toss aside outdated and inaccurate placement policies that are keeping far too many from completing their goals in a timely manner.</w:t>
      </w:r>
      <w:r w:rsidRPr="008B1717">
        <w:rPr>
          <w:rFonts w:eastAsia="Times New Roman" w:cs="Times New Roman"/>
          <w:color w:val="121212"/>
          <w:kern w:val="0"/>
          <w14:ligatures w14:val="none"/>
        </w:rPr>
        <w:t xml:space="preserve"> SEA focuses on five specific metrics, or success indicators, to measure student success:</w:t>
      </w:r>
    </w:p>
    <w:p w14:paraId="57FF5242" w14:textId="77777777" w:rsidR="00563458" w:rsidRDefault="00563458" w:rsidP="00563458">
      <w:pPr>
        <w:jc w:val="center"/>
        <w:rPr>
          <w:rFonts w:ascii="Aptos" w:hAnsi="Aptos"/>
        </w:rPr>
      </w:pPr>
      <w:r w:rsidRPr="00563458">
        <w:rPr>
          <w:rFonts w:ascii="Aptos" w:hAnsi="Aptos"/>
          <w:noProof/>
        </w:rPr>
        <w:drawing>
          <wp:inline distT="0" distB="0" distL="0" distR="0" wp14:anchorId="0C0CFA2D" wp14:editId="04B91383">
            <wp:extent cx="5580380" cy="2164080"/>
            <wp:effectExtent l="0" t="0" r="1270" b="7620"/>
            <wp:docPr id="7459330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33039" name="Picture 1" descr="A screenshot of a computer&#10;&#10;AI-generated content may be incorrect."/>
                    <pic:cNvPicPr/>
                  </pic:nvPicPr>
                  <pic:blipFill>
                    <a:blip r:embed="rId7"/>
                    <a:stretch>
                      <a:fillRect/>
                    </a:stretch>
                  </pic:blipFill>
                  <pic:spPr>
                    <a:xfrm>
                      <a:off x="0" y="0"/>
                      <a:ext cx="5605346" cy="2173762"/>
                    </a:xfrm>
                    <a:prstGeom prst="rect">
                      <a:avLst/>
                    </a:prstGeom>
                  </pic:spPr>
                </pic:pic>
              </a:graphicData>
            </a:graphic>
          </wp:inline>
        </w:drawing>
      </w:r>
    </w:p>
    <w:p w14:paraId="4647BAEB" w14:textId="79038A83" w:rsidR="00563458" w:rsidRDefault="00563458" w:rsidP="00563458">
      <w:pPr>
        <w:jc w:val="center"/>
        <w:rPr>
          <w:rFonts w:ascii="Aptos" w:hAnsi="Aptos"/>
        </w:rPr>
      </w:pPr>
      <w:r w:rsidRPr="00563458">
        <w:rPr>
          <w:rFonts w:ascii="Aptos" w:hAnsi="Aptos"/>
          <w:noProof/>
        </w:rPr>
        <w:lastRenderedPageBreak/>
        <w:drawing>
          <wp:inline distT="0" distB="0" distL="0" distR="0" wp14:anchorId="303C2C00" wp14:editId="35E72EDE">
            <wp:extent cx="6807190" cy="655265"/>
            <wp:effectExtent l="0" t="0" r="0" b="0"/>
            <wp:docPr id="2141012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12423" name=""/>
                    <pic:cNvPicPr/>
                  </pic:nvPicPr>
                  <pic:blipFill>
                    <a:blip r:embed="rId8"/>
                    <a:stretch>
                      <a:fillRect/>
                    </a:stretch>
                  </pic:blipFill>
                  <pic:spPr>
                    <a:xfrm>
                      <a:off x="0" y="0"/>
                      <a:ext cx="6944522" cy="668485"/>
                    </a:xfrm>
                    <a:prstGeom prst="rect">
                      <a:avLst/>
                    </a:prstGeom>
                  </pic:spPr>
                </pic:pic>
              </a:graphicData>
            </a:graphic>
          </wp:inline>
        </w:drawing>
      </w:r>
    </w:p>
    <w:p w14:paraId="295E31BA" w14:textId="51EF5C3F" w:rsidR="00563458" w:rsidRDefault="00563458" w:rsidP="00371911">
      <w:pPr>
        <w:jc w:val="center"/>
        <w:rPr>
          <w:rFonts w:ascii="Aptos" w:hAnsi="Aptos"/>
        </w:rPr>
      </w:pPr>
      <w:r w:rsidRPr="00563458">
        <w:rPr>
          <w:rFonts w:ascii="Aptos" w:hAnsi="Aptos"/>
          <w:noProof/>
        </w:rPr>
        <w:drawing>
          <wp:inline distT="0" distB="0" distL="0" distR="0" wp14:anchorId="66B2AE1B" wp14:editId="4AA64F0D">
            <wp:extent cx="5943600" cy="3691890"/>
            <wp:effectExtent l="0" t="0" r="0" b="3810"/>
            <wp:docPr id="1246060725" name="Picture 1" descr="A diagram of a path to guided pathw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60725" name="Picture 1" descr="A diagram of a path to guided pathways&#10;&#10;AI-generated content may be incorrect."/>
                    <pic:cNvPicPr/>
                  </pic:nvPicPr>
                  <pic:blipFill>
                    <a:blip r:embed="rId9"/>
                    <a:stretch>
                      <a:fillRect/>
                    </a:stretch>
                  </pic:blipFill>
                  <pic:spPr>
                    <a:xfrm>
                      <a:off x="0" y="0"/>
                      <a:ext cx="5943600" cy="3691890"/>
                    </a:xfrm>
                    <a:prstGeom prst="rect">
                      <a:avLst/>
                    </a:prstGeom>
                  </pic:spPr>
                </pic:pic>
              </a:graphicData>
            </a:graphic>
          </wp:inline>
        </w:drawing>
      </w:r>
    </w:p>
    <w:p w14:paraId="42BC9A1F" w14:textId="26738166" w:rsidR="00076558" w:rsidRDefault="00076558" w:rsidP="00076558">
      <w:pPr>
        <w:jc w:val="center"/>
        <w:rPr>
          <w:rFonts w:ascii="Aptos" w:hAnsi="Aptos"/>
        </w:rPr>
      </w:pPr>
      <w:r w:rsidRPr="00076558">
        <w:rPr>
          <w:rFonts w:ascii="Aptos" w:hAnsi="Aptos"/>
          <w:noProof/>
        </w:rPr>
        <w:drawing>
          <wp:inline distT="0" distB="0" distL="0" distR="0" wp14:anchorId="3837E2F9" wp14:editId="35710333">
            <wp:extent cx="6847479" cy="2766060"/>
            <wp:effectExtent l="0" t="0" r="0" b="0"/>
            <wp:docPr id="543190694"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90694" name="Picture 1" descr="A screenshot of a website&#10;&#10;AI-generated content may be incorrect."/>
                    <pic:cNvPicPr/>
                  </pic:nvPicPr>
                  <pic:blipFill>
                    <a:blip r:embed="rId10"/>
                    <a:stretch>
                      <a:fillRect/>
                    </a:stretch>
                  </pic:blipFill>
                  <pic:spPr>
                    <a:xfrm>
                      <a:off x="0" y="0"/>
                      <a:ext cx="6869433" cy="2774928"/>
                    </a:xfrm>
                    <a:prstGeom prst="rect">
                      <a:avLst/>
                    </a:prstGeom>
                  </pic:spPr>
                </pic:pic>
              </a:graphicData>
            </a:graphic>
          </wp:inline>
        </w:drawing>
      </w:r>
    </w:p>
    <w:p w14:paraId="4BB80040" w14:textId="051E15DF" w:rsidR="00076558" w:rsidRDefault="006A3E0E" w:rsidP="006A3E0E">
      <w:pPr>
        <w:rPr>
          <w:rFonts w:ascii="Aptos" w:hAnsi="Aptos"/>
        </w:rPr>
      </w:pPr>
      <w:r w:rsidRPr="00371911">
        <w:rPr>
          <w:rFonts w:ascii="Aptos" w:hAnsi="Aptos"/>
          <w:b/>
          <w:bCs/>
        </w:rPr>
        <w:t>Guided Pathways Committee is currently working from the “Guided Pathways Work Plan” for the 2022-2026 Reporting Period</w:t>
      </w:r>
      <w:r>
        <w:rPr>
          <w:rFonts w:ascii="Aptos" w:hAnsi="Aptos"/>
        </w:rPr>
        <w:t xml:space="preserve">. Expectation is to receive further guidance from the CCCCO as it relates to </w:t>
      </w:r>
      <w:r w:rsidR="00371911">
        <w:rPr>
          <w:rFonts w:ascii="Aptos" w:hAnsi="Aptos"/>
        </w:rPr>
        <w:t xml:space="preserve">direction in 2026, as we approach “Vision 2030” Initiative. </w:t>
      </w:r>
      <w:r>
        <w:rPr>
          <w:rFonts w:ascii="Aptos" w:hAnsi="Aptos"/>
        </w:rPr>
        <w:t xml:space="preserve"> </w:t>
      </w:r>
    </w:p>
    <w:p w14:paraId="114A5E7B" w14:textId="77777777" w:rsidR="00076558" w:rsidRDefault="00076558" w:rsidP="00076558">
      <w:pPr>
        <w:jc w:val="center"/>
        <w:rPr>
          <w:rFonts w:ascii="Aptos" w:hAnsi="Aptos"/>
        </w:rPr>
      </w:pPr>
    </w:p>
    <w:p w14:paraId="322993B4" w14:textId="52C77BF0" w:rsidR="00076558" w:rsidRDefault="00076558" w:rsidP="00076558">
      <w:pPr>
        <w:rPr>
          <w:rFonts w:ascii="Aptos" w:hAnsi="Aptos"/>
          <w:b/>
          <w:bCs/>
          <w:sz w:val="36"/>
          <w:szCs w:val="36"/>
        </w:rPr>
      </w:pPr>
      <w:r w:rsidRPr="00076558">
        <w:rPr>
          <w:rFonts w:ascii="Aptos" w:hAnsi="Aptos"/>
          <w:b/>
          <w:bCs/>
          <w:sz w:val="36"/>
          <w:szCs w:val="36"/>
        </w:rPr>
        <w:t>Highlights from the 2024-2025 Academic Year</w:t>
      </w:r>
    </w:p>
    <w:p w14:paraId="1B55985E" w14:textId="0A4EF118" w:rsidR="00076558" w:rsidRDefault="00076558" w:rsidP="00076558">
      <w:pPr>
        <w:pStyle w:val="ListParagraph"/>
        <w:numPr>
          <w:ilvl w:val="0"/>
          <w:numId w:val="2"/>
        </w:numPr>
        <w:rPr>
          <w:rFonts w:ascii="Aptos" w:hAnsi="Aptos"/>
        </w:rPr>
      </w:pPr>
      <w:r w:rsidRPr="00076558">
        <w:rPr>
          <w:rFonts w:ascii="Aptos" w:hAnsi="Aptos"/>
        </w:rPr>
        <w:t xml:space="preserve">Continued work on total </w:t>
      </w:r>
      <w:r w:rsidRPr="00C61ACB">
        <w:rPr>
          <w:rFonts w:ascii="Aptos" w:hAnsi="Aptos"/>
          <w:b/>
          <w:bCs/>
        </w:rPr>
        <w:t>SBVC Website Overhaul</w:t>
      </w:r>
      <w:r>
        <w:rPr>
          <w:rFonts w:ascii="Aptos" w:hAnsi="Aptos"/>
        </w:rPr>
        <w:t xml:space="preserve"> (</w:t>
      </w:r>
      <w:r w:rsidRPr="00076558">
        <w:rPr>
          <w:rFonts w:ascii="Aptos" w:hAnsi="Aptos"/>
          <w:i/>
          <w:iCs/>
        </w:rPr>
        <w:t>Metric 1; Pillar 1 &amp;2)</w:t>
      </w:r>
    </w:p>
    <w:p w14:paraId="3C08F5E6" w14:textId="334A72B1" w:rsidR="00076558" w:rsidRDefault="00076558" w:rsidP="00076558">
      <w:pPr>
        <w:pStyle w:val="ListParagraph"/>
        <w:numPr>
          <w:ilvl w:val="0"/>
          <w:numId w:val="2"/>
        </w:numPr>
        <w:rPr>
          <w:rFonts w:ascii="Aptos" w:hAnsi="Aptos"/>
        </w:rPr>
      </w:pPr>
      <w:r>
        <w:rPr>
          <w:rFonts w:ascii="Aptos" w:hAnsi="Aptos"/>
        </w:rPr>
        <w:t>Refined “</w:t>
      </w:r>
      <w:r w:rsidRPr="00C61ACB">
        <w:rPr>
          <w:rFonts w:ascii="Aptos" w:hAnsi="Aptos"/>
          <w:b/>
          <w:bCs/>
        </w:rPr>
        <w:t>Registration Season</w:t>
      </w:r>
      <w:r>
        <w:rPr>
          <w:rFonts w:ascii="Aptos" w:hAnsi="Aptos"/>
        </w:rPr>
        <w:t>” efforts (</w:t>
      </w:r>
      <w:r w:rsidRPr="00C61ACB">
        <w:rPr>
          <w:rFonts w:ascii="Aptos" w:hAnsi="Aptos"/>
          <w:i/>
          <w:iCs/>
        </w:rPr>
        <w:t>Metrics 1-5; Pillars 1-4</w:t>
      </w:r>
      <w:r>
        <w:rPr>
          <w:rFonts w:ascii="Aptos" w:hAnsi="Aptos"/>
        </w:rPr>
        <w:t>)</w:t>
      </w:r>
    </w:p>
    <w:p w14:paraId="321E2A65" w14:textId="0F5A5FED" w:rsidR="00E31FB8" w:rsidRDefault="00E31FB8" w:rsidP="00076558">
      <w:pPr>
        <w:pStyle w:val="ListParagraph"/>
        <w:numPr>
          <w:ilvl w:val="0"/>
          <w:numId w:val="2"/>
        </w:numPr>
        <w:rPr>
          <w:rFonts w:ascii="Aptos" w:hAnsi="Aptos"/>
        </w:rPr>
      </w:pPr>
      <w:r>
        <w:rPr>
          <w:rFonts w:ascii="Aptos" w:hAnsi="Aptos"/>
        </w:rPr>
        <w:t xml:space="preserve">Collaborative efforts with the </w:t>
      </w:r>
      <w:r w:rsidRPr="00C61ACB">
        <w:rPr>
          <w:rFonts w:ascii="Aptos" w:hAnsi="Aptos"/>
          <w:b/>
          <w:bCs/>
        </w:rPr>
        <w:t>Science Division and Umoja-Tumaini</w:t>
      </w:r>
      <w:r>
        <w:rPr>
          <w:rFonts w:ascii="Aptos" w:hAnsi="Aptos"/>
        </w:rPr>
        <w:t xml:space="preserve"> in creating their upcoming cohort (</w:t>
      </w:r>
      <w:r w:rsidRPr="00C61ACB">
        <w:rPr>
          <w:rFonts w:ascii="Aptos" w:hAnsi="Aptos"/>
          <w:i/>
          <w:iCs/>
        </w:rPr>
        <w:t>Metrics</w:t>
      </w:r>
      <w:r w:rsidR="00C61ACB" w:rsidRPr="00C61ACB">
        <w:rPr>
          <w:rFonts w:ascii="Aptos" w:hAnsi="Aptos"/>
          <w:i/>
          <w:iCs/>
        </w:rPr>
        <w:t xml:space="preserve"> 1-5; Pillars 1-4</w:t>
      </w:r>
      <w:r w:rsidR="00C61ACB">
        <w:rPr>
          <w:rFonts w:ascii="Aptos" w:hAnsi="Aptos"/>
        </w:rPr>
        <w:t>)</w:t>
      </w:r>
    </w:p>
    <w:p w14:paraId="4A2AB39C" w14:textId="29ED5F56" w:rsidR="00C61ACB" w:rsidRDefault="00C61ACB" w:rsidP="00076558">
      <w:pPr>
        <w:pStyle w:val="ListParagraph"/>
        <w:numPr>
          <w:ilvl w:val="0"/>
          <w:numId w:val="2"/>
        </w:numPr>
        <w:rPr>
          <w:rFonts w:ascii="Aptos" w:hAnsi="Aptos"/>
        </w:rPr>
      </w:pPr>
      <w:r>
        <w:rPr>
          <w:rFonts w:ascii="Aptos" w:hAnsi="Aptos"/>
        </w:rPr>
        <w:t xml:space="preserve">Continued </w:t>
      </w:r>
      <w:r w:rsidRPr="00C61ACB">
        <w:rPr>
          <w:rFonts w:ascii="Aptos" w:hAnsi="Aptos"/>
          <w:b/>
          <w:bCs/>
        </w:rPr>
        <w:t>collaborative work with SBVC Specialized</w:t>
      </w:r>
      <w:r>
        <w:rPr>
          <w:rFonts w:ascii="Aptos" w:hAnsi="Aptos"/>
        </w:rPr>
        <w:t xml:space="preserve"> </w:t>
      </w:r>
      <w:r w:rsidRPr="00C61ACB">
        <w:rPr>
          <w:rFonts w:ascii="Aptos" w:hAnsi="Aptos"/>
          <w:b/>
          <w:bCs/>
        </w:rPr>
        <w:t>Programs</w:t>
      </w:r>
      <w:r>
        <w:rPr>
          <w:rFonts w:ascii="Aptos" w:hAnsi="Aptos"/>
        </w:rPr>
        <w:t xml:space="preserve"> to increase student awareness, engagement, and participation </w:t>
      </w:r>
      <w:bookmarkStart w:id="0" w:name="_Hlk196244504"/>
      <w:r>
        <w:rPr>
          <w:rFonts w:ascii="Aptos" w:hAnsi="Aptos"/>
        </w:rPr>
        <w:t>(</w:t>
      </w:r>
      <w:r w:rsidRPr="00C61ACB">
        <w:rPr>
          <w:rFonts w:ascii="Aptos" w:hAnsi="Aptos"/>
          <w:i/>
          <w:iCs/>
        </w:rPr>
        <w:t>Metrics 1-5; Pillars 1-4</w:t>
      </w:r>
      <w:r>
        <w:rPr>
          <w:rFonts w:ascii="Aptos" w:hAnsi="Aptos"/>
        </w:rPr>
        <w:t xml:space="preserve">) </w:t>
      </w:r>
      <w:bookmarkEnd w:id="0"/>
    </w:p>
    <w:p w14:paraId="59668BA9" w14:textId="084C2726" w:rsidR="00C61ACB" w:rsidRPr="00371911" w:rsidRDefault="00C61ACB" w:rsidP="00076558">
      <w:pPr>
        <w:pStyle w:val="ListParagraph"/>
        <w:numPr>
          <w:ilvl w:val="0"/>
          <w:numId w:val="2"/>
        </w:numPr>
        <w:rPr>
          <w:rFonts w:ascii="Aptos" w:hAnsi="Aptos"/>
        </w:rPr>
      </w:pPr>
      <w:r>
        <w:rPr>
          <w:rFonts w:ascii="Aptos" w:hAnsi="Aptos"/>
        </w:rPr>
        <w:t xml:space="preserve">Continued </w:t>
      </w:r>
      <w:r w:rsidRPr="006A3E0E">
        <w:rPr>
          <w:rFonts w:ascii="Aptos" w:hAnsi="Aptos"/>
          <w:b/>
          <w:bCs/>
        </w:rPr>
        <w:t>participation on Regional Student Equity Planning Institute (SEPI),</w:t>
      </w:r>
      <w:r>
        <w:rPr>
          <w:rFonts w:ascii="Aptos" w:hAnsi="Aptos"/>
        </w:rPr>
        <w:t xml:space="preserve"> as </w:t>
      </w:r>
      <w:r w:rsidR="006A3E0E">
        <w:rPr>
          <w:rFonts w:ascii="Aptos" w:hAnsi="Aptos"/>
        </w:rPr>
        <w:t xml:space="preserve">“Student Equity Committee” </w:t>
      </w:r>
      <w:r w:rsidR="006A3E0E" w:rsidRPr="006A3E0E">
        <w:rPr>
          <w:rFonts w:ascii="Aptos" w:hAnsi="Aptos"/>
          <w:b/>
          <w:bCs/>
        </w:rPr>
        <w:t>prepares for the development of the 2025-2028 Student Equity Plan</w:t>
      </w:r>
      <w:r w:rsidR="006A3E0E">
        <w:rPr>
          <w:rFonts w:ascii="Aptos" w:hAnsi="Aptos"/>
          <w:b/>
          <w:bCs/>
        </w:rPr>
        <w:t xml:space="preserve"> </w:t>
      </w:r>
      <w:r w:rsidR="002A305B">
        <w:rPr>
          <w:rFonts w:ascii="Aptos" w:hAnsi="Aptos"/>
        </w:rPr>
        <w:t>(</w:t>
      </w:r>
      <w:r w:rsidR="002A305B" w:rsidRPr="00C61ACB">
        <w:rPr>
          <w:rFonts w:ascii="Aptos" w:hAnsi="Aptos"/>
          <w:i/>
          <w:iCs/>
        </w:rPr>
        <w:t>Metrics 1-5; Pillars 1-4</w:t>
      </w:r>
      <w:r w:rsidR="002A305B">
        <w:rPr>
          <w:rFonts w:ascii="Aptos" w:hAnsi="Aptos"/>
        </w:rPr>
        <w:t>)</w:t>
      </w:r>
    </w:p>
    <w:p w14:paraId="37DB96F0" w14:textId="7F69C954" w:rsidR="00371911" w:rsidRDefault="00371911" w:rsidP="00076558">
      <w:pPr>
        <w:pStyle w:val="ListParagraph"/>
        <w:numPr>
          <w:ilvl w:val="0"/>
          <w:numId w:val="2"/>
        </w:numPr>
        <w:rPr>
          <w:rFonts w:ascii="Aptos" w:hAnsi="Aptos"/>
        </w:rPr>
      </w:pPr>
      <w:r>
        <w:rPr>
          <w:rFonts w:ascii="Aptos" w:hAnsi="Aptos"/>
          <w:b/>
          <w:bCs/>
        </w:rPr>
        <w:t xml:space="preserve">Foundational work with “Dual Enrollment” </w:t>
      </w:r>
      <w:r>
        <w:rPr>
          <w:rFonts w:ascii="Aptos" w:hAnsi="Aptos"/>
        </w:rPr>
        <w:t>to create model(s) for various student demographics/affinity groups and local K-12 district partners</w:t>
      </w:r>
      <w:r w:rsidR="002A305B">
        <w:rPr>
          <w:rFonts w:ascii="Aptos" w:hAnsi="Aptos"/>
        </w:rPr>
        <w:t xml:space="preserve"> </w:t>
      </w:r>
      <w:r w:rsidR="002A305B">
        <w:rPr>
          <w:rFonts w:ascii="Aptos" w:hAnsi="Aptos"/>
        </w:rPr>
        <w:t>(</w:t>
      </w:r>
      <w:r w:rsidR="002A305B" w:rsidRPr="00C61ACB">
        <w:rPr>
          <w:rFonts w:ascii="Aptos" w:hAnsi="Aptos"/>
          <w:i/>
          <w:iCs/>
        </w:rPr>
        <w:t>Metrics 1-5; Pillars 1-4</w:t>
      </w:r>
      <w:r w:rsidR="002A305B">
        <w:rPr>
          <w:rFonts w:ascii="Aptos" w:hAnsi="Aptos"/>
        </w:rPr>
        <w:t>)</w:t>
      </w:r>
    </w:p>
    <w:p w14:paraId="5263F73E" w14:textId="591BB16E" w:rsidR="002A305B" w:rsidRDefault="002A305B" w:rsidP="00076558">
      <w:pPr>
        <w:pStyle w:val="ListParagraph"/>
        <w:numPr>
          <w:ilvl w:val="0"/>
          <w:numId w:val="2"/>
        </w:numPr>
        <w:rPr>
          <w:rFonts w:ascii="Aptos" w:hAnsi="Aptos"/>
        </w:rPr>
      </w:pPr>
      <w:r w:rsidRPr="002A305B">
        <w:rPr>
          <w:rFonts w:ascii="Aptos" w:hAnsi="Aptos"/>
        </w:rPr>
        <w:t>Created</w:t>
      </w:r>
      <w:r>
        <w:rPr>
          <w:rFonts w:ascii="Aptos" w:hAnsi="Aptos"/>
          <w:b/>
          <w:bCs/>
        </w:rPr>
        <w:t xml:space="preserve"> draft of “Master Calendar of Events”</w:t>
      </w:r>
    </w:p>
    <w:p w14:paraId="10263F7D" w14:textId="77777777" w:rsidR="00E31FB8" w:rsidRDefault="00E31FB8" w:rsidP="00E31FB8">
      <w:pPr>
        <w:rPr>
          <w:rFonts w:ascii="Aptos" w:hAnsi="Aptos"/>
        </w:rPr>
      </w:pPr>
    </w:p>
    <w:p w14:paraId="2ED87F2D" w14:textId="77777777" w:rsidR="00E31FB8" w:rsidRDefault="00E31FB8" w:rsidP="00E31FB8">
      <w:pPr>
        <w:rPr>
          <w:rFonts w:ascii="Aptos" w:hAnsi="Aptos"/>
        </w:rPr>
      </w:pPr>
    </w:p>
    <w:p w14:paraId="386FB2E3" w14:textId="32704C7E" w:rsidR="00E31FB8" w:rsidRDefault="00E31FB8" w:rsidP="00E31FB8">
      <w:pPr>
        <w:rPr>
          <w:rFonts w:ascii="Aptos" w:hAnsi="Aptos"/>
          <w:b/>
          <w:bCs/>
          <w:sz w:val="36"/>
          <w:szCs w:val="36"/>
        </w:rPr>
      </w:pPr>
      <w:r w:rsidRPr="00E31FB8">
        <w:rPr>
          <w:rFonts w:ascii="Aptos" w:hAnsi="Aptos"/>
          <w:b/>
          <w:bCs/>
          <w:sz w:val="36"/>
          <w:szCs w:val="36"/>
        </w:rPr>
        <w:t>Direction for 2025-2026 Academic Year</w:t>
      </w:r>
    </w:p>
    <w:p w14:paraId="4EFB1FF6" w14:textId="7E215539" w:rsidR="00E31FB8" w:rsidRPr="00C61ACB" w:rsidRDefault="00E31FB8" w:rsidP="00E31FB8">
      <w:pPr>
        <w:pStyle w:val="ListParagraph"/>
        <w:numPr>
          <w:ilvl w:val="0"/>
          <w:numId w:val="3"/>
        </w:numPr>
        <w:rPr>
          <w:rFonts w:ascii="Aptos" w:hAnsi="Aptos"/>
          <w:b/>
          <w:bCs/>
        </w:rPr>
      </w:pPr>
      <w:r>
        <w:rPr>
          <w:rFonts w:ascii="Aptos" w:hAnsi="Aptos"/>
        </w:rPr>
        <w:t>Anticipating “merger” and establishment of “</w:t>
      </w:r>
      <w:r w:rsidRPr="00E31FB8">
        <w:rPr>
          <w:rFonts w:ascii="Aptos" w:hAnsi="Aptos"/>
          <w:b/>
          <w:bCs/>
        </w:rPr>
        <w:t>Student Success Advisory Committee</w:t>
      </w:r>
      <w:r>
        <w:rPr>
          <w:rFonts w:ascii="Aptos" w:hAnsi="Aptos"/>
        </w:rPr>
        <w:t>”, as recommended by Participatory Governance Task Force</w:t>
      </w:r>
    </w:p>
    <w:p w14:paraId="4EBE3109" w14:textId="3A87434F" w:rsidR="00C61ACB" w:rsidRPr="00371911" w:rsidRDefault="006A3E0E" w:rsidP="00E31FB8">
      <w:pPr>
        <w:pStyle w:val="ListParagraph"/>
        <w:numPr>
          <w:ilvl w:val="0"/>
          <w:numId w:val="3"/>
        </w:numPr>
        <w:rPr>
          <w:rFonts w:ascii="Aptos" w:hAnsi="Aptos"/>
          <w:b/>
          <w:bCs/>
        </w:rPr>
      </w:pPr>
      <w:r>
        <w:rPr>
          <w:rFonts w:ascii="Aptos" w:hAnsi="Aptos"/>
          <w:b/>
          <w:bCs/>
        </w:rPr>
        <w:t xml:space="preserve">Contribute to 2025-2026 Student Equity Plan; </w:t>
      </w:r>
      <w:r>
        <w:rPr>
          <w:rFonts w:ascii="Aptos" w:hAnsi="Aptos"/>
        </w:rPr>
        <w:t>November 2025 submission</w:t>
      </w:r>
    </w:p>
    <w:p w14:paraId="3D9E2431" w14:textId="76484573" w:rsidR="00371911" w:rsidRDefault="00371911" w:rsidP="00E31FB8">
      <w:pPr>
        <w:pStyle w:val="ListParagraph"/>
        <w:numPr>
          <w:ilvl w:val="0"/>
          <w:numId w:val="3"/>
        </w:numPr>
        <w:rPr>
          <w:rFonts w:ascii="Aptos" w:hAnsi="Aptos"/>
          <w:b/>
          <w:bCs/>
        </w:rPr>
      </w:pPr>
      <w:r w:rsidRPr="00371911">
        <w:rPr>
          <w:rFonts w:ascii="Aptos" w:hAnsi="Aptos"/>
        </w:rPr>
        <w:t>Continued</w:t>
      </w:r>
      <w:r>
        <w:rPr>
          <w:rFonts w:ascii="Aptos" w:hAnsi="Aptos"/>
          <w:b/>
          <w:bCs/>
        </w:rPr>
        <w:t xml:space="preserve"> development of Dual Enrollment models</w:t>
      </w:r>
    </w:p>
    <w:p w14:paraId="25E71336" w14:textId="13A67B57" w:rsidR="00371911" w:rsidRDefault="00371911" w:rsidP="00E31FB8">
      <w:pPr>
        <w:pStyle w:val="ListParagraph"/>
        <w:numPr>
          <w:ilvl w:val="0"/>
          <w:numId w:val="3"/>
        </w:numPr>
        <w:rPr>
          <w:rFonts w:ascii="Aptos" w:hAnsi="Aptos"/>
          <w:b/>
          <w:bCs/>
        </w:rPr>
      </w:pPr>
      <w:r w:rsidRPr="00371911">
        <w:rPr>
          <w:rFonts w:ascii="Aptos" w:hAnsi="Aptos"/>
        </w:rPr>
        <w:t>Continued</w:t>
      </w:r>
      <w:r>
        <w:rPr>
          <w:rFonts w:ascii="Aptos" w:hAnsi="Aptos"/>
          <w:b/>
          <w:bCs/>
        </w:rPr>
        <w:t xml:space="preserve"> development of Cohort Programs and “wraparound services” models</w:t>
      </w:r>
    </w:p>
    <w:p w14:paraId="5F9E8314" w14:textId="3C0EC198" w:rsidR="00371911" w:rsidRDefault="00371911" w:rsidP="00E31FB8">
      <w:pPr>
        <w:pStyle w:val="ListParagraph"/>
        <w:numPr>
          <w:ilvl w:val="0"/>
          <w:numId w:val="3"/>
        </w:numPr>
        <w:rPr>
          <w:rFonts w:ascii="Aptos" w:hAnsi="Aptos"/>
          <w:b/>
          <w:bCs/>
        </w:rPr>
      </w:pPr>
      <w:r w:rsidRPr="00371911">
        <w:rPr>
          <w:rFonts w:ascii="Aptos" w:hAnsi="Aptos"/>
        </w:rPr>
        <w:t>Continued</w:t>
      </w:r>
      <w:r>
        <w:rPr>
          <w:rFonts w:ascii="Aptos" w:hAnsi="Aptos"/>
          <w:b/>
          <w:bCs/>
        </w:rPr>
        <w:t xml:space="preserve"> development of “Counselor Liaison” structure and utilization of case management model</w:t>
      </w:r>
    </w:p>
    <w:p w14:paraId="4A8EE76A" w14:textId="33886F1E" w:rsidR="00371911" w:rsidRDefault="00371911" w:rsidP="00E31FB8">
      <w:pPr>
        <w:pStyle w:val="ListParagraph"/>
        <w:numPr>
          <w:ilvl w:val="0"/>
          <w:numId w:val="3"/>
        </w:numPr>
        <w:rPr>
          <w:rFonts w:ascii="Aptos" w:hAnsi="Aptos"/>
        </w:rPr>
      </w:pPr>
      <w:r w:rsidRPr="00371911">
        <w:rPr>
          <w:rFonts w:ascii="Aptos" w:hAnsi="Aptos"/>
        </w:rPr>
        <w:t xml:space="preserve">Formalize </w:t>
      </w:r>
      <w:r w:rsidRPr="00371911">
        <w:rPr>
          <w:rFonts w:ascii="Aptos" w:hAnsi="Aptos"/>
          <w:b/>
          <w:bCs/>
        </w:rPr>
        <w:t>collaborative relationships</w:t>
      </w:r>
      <w:r>
        <w:rPr>
          <w:rFonts w:ascii="Aptos" w:hAnsi="Aptos"/>
          <w:b/>
          <w:bCs/>
        </w:rPr>
        <w:t>/</w:t>
      </w:r>
      <w:r w:rsidRPr="00371911">
        <w:rPr>
          <w:rFonts w:ascii="Aptos" w:hAnsi="Aptos"/>
          <w:b/>
          <w:bCs/>
        </w:rPr>
        <w:t>efforts w/ District Job Development</w:t>
      </w:r>
      <w:r w:rsidRPr="00371911">
        <w:rPr>
          <w:rFonts w:ascii="Aptos" w:hAnsi="Aptos"/>
        </w:rPr>
        <w:t xml:space="preserve"> efforts</w:t>
      </w:r>
    </w:p>
    <w:p w14:paraId="02875B22" w14:textId="6B2DE224" w:rsidR="00371911" w:rsidRDefault="00371911" w:rsidP="00E31FB8">
      <w:pPr>
        <w:pStyle w:val="ListParagraph"/>
        <w:numPr>
          <w:ilvl w:val="0"/>
          <w:numId w:val="3"/>
        </w:numPr>
        <w:rPr>
          <w:rFonts w:ascii="Aptos" w:hAnsi="Aptos"/>
        </w:rPr>
      </w:pPr>
      <w:r w:rsidRPr="00371911">
        <w:rPr>
          <w:rFonts w:ascii="Aptos" w:hAnsi="Aptos"/>
          <w:b/>
          <w:bCs/>
        </w:rPr>
        <w:t>Reestablish and solidify “Communications Team”</w:t>
      </w:r>
      <w:r>
        <w:rPr>
          <w:rFonts w:ascii="Aptos" w:hAnsi="Aptos"/>
        </w:rPr>
        <w:t xml:space="preserve"> to ensure institutional communication and collaboration accordingly.</w:t>
      </w:r>
    </w:p>
    <w:p w14:paraId="485D92D1" w14:textId="49FBEE73" w:rsidR="002A305B" w:rsidRPr="002A305B" w:rsidRDefault="002A305B" w:rsidP="00E31FB8">
      <w:pPr>
        <w:pStyle w:val="ListParagraph"/>
        <w:numPr>
          <w:ilvl w:val="0"/>
          <w:numId w:val="3"/>
        </w:numPr>
        <w:rPr>
          <w:rFonts w:ascii="Aptos" w:hAnsi="Aptos"/>
        </w:rPr>
      </w:pPr>
      <w:r>
        <w:rPr>
          <w:rFonts w:ascii="Aptos" w:hAnsi="Aptos"/>
          <w:b/>
          <w:bCs/>
        </w:rPr>
        <w:t>Finalizing and implement “Master Calendar of Events”</w:t>
      </w:r>
    </w:p>
    <w:p w14:paraId="15E1A4FC" w14:textId="7EAEC07F" w:rsidR="002A305B" w:rsidRPr="00371911" w:rsidRDefault="002A305B" w:rsidP="00E31FB8">
      <w:pPr>
        <w:pStyle w:val="ListParagraph"/>
        <w:numPr>
          <w:ilvl w:val="0"/>
          <w:numId w:val="3"/>
        </w:numPr>
        <w:rPr>
          <w:rFonts w:ascii="Aptos" w:hAnsi="Aptos"/>
        </w:rPr>
      </w:pPr>
      <w:r>
        <w:rPr>
          <w:rFonts w:ascii="Aptos" w:hAnsi="Aptos"/>
        </w:rPr>
        <w:t>Continuing work other Campus Committees (Distance Learning, ZTC, Enrollment Management, etc)</w:t>
      </w:r>
    </w:p>
    <w:sectPr w:rsidR="002A305B" w:rsidRPr="003719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1351" w14:textId="77777777" w:rsidR="00386ED4" w:rsidRDefault="00386ED4" w:rsidP="00563458">
      <w:pPr>
        <w:spacing w:after="0" w:line="240" w:lineRule="auto"/>
      </w:pPr>
      <w:r>
        <w:separator/>
      </w:r>
    </w:p>
  </w:endnote>
  <w:endnote w:type="continuationSeparator" w:id="0">
    <w:p w14:paraId="32DB6458" w14:textId="77777777" w:rsidR="00386ED4" w:rsidRDefault="00386ED4" w:rsidP="0056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218E" w14:textId="77777777" w:rsidR="00386ED4" w:rsidRDefault="00386ED4" w:rsidP="00563458">
      <w:pPr>
        <w:spacing w:after="0" w:line="240" w:lineRule="auto"/>
      </w:pPr>
      <w:r>
        <w:separator/>
      </w:r>
    </w:p>
  </w:footnote>
  <w:footnote w:type="continuationSeparator" w:id="0">
    <w:p w14:paraId="1716B01F" w14:textId="77777777" w:rsidR="00386ED4" w:rsidRDefault="00386ED4" w:rsidP="00563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1B06"/>
    <w:multiLevelType w:val="hybridMultilevel"/>
    <w:tmpl w:val="F47A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C09CD"/>
    <w:multiLevelType w:val="hybridMultilevel"/>
    <w:tmpl w:val="3DF6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F73AD"/>
    <w:multiLevelType w:val="hybridMultilevel"/>
    <w:tmpl w:val="E972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801239">
    <w:abstractNumId w:val="1"/>
  </w:num>
  <w:num w:numId="2" w16cid:durableId="951590956">
    <w:abstractNumId w:val="2"/>
  </w:num>
  <w:num w:numId="3" w16cid:durableId="59331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17"/>
    <w:rsid w:val="00076558"/>
    <w:rsid w:val="0023153E"/>
    <w:rsid w:val="002A305B"/>
    <w:rsid w:val="00371911"/>
    <w:rsid w:val="00386ED4"/>
    <w:rsid w:val="003A0296"/>
    <w:rsid w:val="00563458"/>
    <w:rsid w:val="006A3E0E"/>
    <w:rsid w:val="006B0443"/>
    <w:rsid w:val="008A2764"/>
    <w:rsid w:val="008B1717"/>
    <w:rsid w:val="009643F0"/>
    <w:rsid w:val="00995064"/>
    <w:rsid w:val="00C61ACB"/>
    <w:rsid w:val="00E31FB8"/>
    <w:rsid w:val="00F47BA2"/>
    <w:rsid w:val="00FD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CBBC"/>
  <w15:chartTrackingRefBased/>
  <w15:docId w15:val="{5AA34588-5715-487C-8FF7-438A75BD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717"/>
    <w:rPr>
      <w:rFonts w:eastAsiaTheme="majorEastAsia" w:cstheme="majorBidi"/>
      <w:color w:val="272727" w:themeColor="text1" w:themeTint="D8"/>
    </w:rPr>
  </w:style>
  <w:style w:type="paragraph" w:styleId="Title">
    <w:name w:val="Title"/>
    <w:basedOn w:val="Normal"/>
    <w:next w:val="Normal"/>
    <w:link w:val="TitleChar"/>
    <w:uiPriority w:val="10"/>
    <w:qFormat/>
    <w:rsid w:val="008B1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717"/>
    <w:pPr>
      <w:spacing w:before="160"/>
      <w:jc w:val="center"/>
    </w:pPr>
    <w:rPr>
      <w:i/>
      <w:iCs/>
      <w:color w:val="404040" w:themeColor="text1" w:themeTint="BF"/>
    </w:rPr>
  </w:style>
  <w:style w:type="character" w:customStyle="1" w:styleId="QuoteChar">
    <w:name w:val="Quote Char"/>
    <w:basedOn w:val="DefaultParagraphFont"/>
    <w:link w:val="Quote"/>
    <w:uiPriority w:val="29"/>
    <w:rsid w:val="008B1717"/>
    <w:rPr>
      <w:i/>
      <w:iCs/>
      <w:color w:val="404040" w:themeColor="text1" w:themeTint="BF"/>
    </w:rPr>
  </w:style>
  <w:style w:type="paragraph" w:styleId="ListParagraph">
    <w:name w:val="List Paragraph"/>
    <w:basedOn w:val="Normal"/>
    <w:uiPriority w:val="34"/>
    <w:qFormat/>
    <w:rsid w:val="008B1717"/>
    <w:pPr>
      <w:ind w:left="720"/>
      <w:contextualSpacing/>
    </w:pPr>
  </w:style>
  <w:style w:type="character" w:styleId="IntenseEmphasis">
    <w:name w:val="Intense Emphasis"/>
    <w:basedOn w:val="DefaultParagraphFont"/>
    <w:uiPriority w:val="21"/>
    <w:qFormat/>
    <w:rsid w:val="008B1717"/>
    <w:rPr>
      <w:i/>
      <w:iCs/>
      <w:color w:val="0F4761" w:themeColor="accent1" w:themeShade="BF"/>
    </w:rPr>
  </w:style>
  <w:style w:type="paragraph" w:styleId="IntenseQuote">
    <w:name w:val="Intense Quote"/>
    <w:basedOn w:val="Normal"/>
    <w:next w:val="Normal"/>
    <w:link w:val="IntenseQuoteChar"/>
    <w:uiPriority w:val="30"/>
    <w:qFormat/>
    <w:rsid w:val="008B1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717"/>
    <w:rPr>
      <w:i/>
      <w:iCs/>
      <w:color w:val="0F4761" w:themeColor="accent1" w:themeShade="BF"/>
    </w:rPr>
  </w:style>
  <w:style w:type="character" w:styleId="IntenseReference">
    <w:name w:val="Intense Reference"/>
    <w:basedOn w:val="DefaultParagraphFont"/>
    <w:uiPriority w:val="32"/>
    <w:qFormat/>
    <w:rsid w:val="008B1717"/>
    <w:rPr>
      <w:b/>
      <w:bCs/>
      <w:smallCaps/>
      <w:color w:val="0F4761" w:themeColor="accent1" w:themeShade="BF"/>
      <w:spacing w:val="5"/>
    </w:rPr>
  </w:style>
  <w:style w:type="paragraph" w:styleId="Header">
    <w:name w:val="header"/>
    <w:basedOn w:val="Normal"/>
    <w:link w:val="HeaderChar"/>
    <w:uiPriority w:val="99"/>
    <w:unhideWhenUsed/>
    <w:rsid w:val="00563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58"/>
  </w:style>
  <w:style w:type="paragraph" w:styleId="Footer">
    <w:name w:val="footer"/>
    <w:basedOn w:val="Normal"/>
    <w:link w:val="FooterChar"/>
    <w:uiPriority w:val="99"/>
    <w:unhideWhenUsed/>
    <w:rsid w:val="00563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Keenan</dc:creator>
  <cp:keywords/>
  <dc:description/>
  <cp:lastModifiedBy>Giles, Keenan</cp:lastModifiedBy>
  <cp:revision>2</cp:revision>
  <dcterms:created xsi:type="dcterms:W3CDTF">2025-04-22T13:34:00Z</dcterms:created>
  <dcterms:modified xsi:type="dcterms:W3CDTF">2025-04-23T03:03:00Z</dcterms:modified>
</cp:coreProperties>
</file>