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1F74" w14:textId="000F4DD4" w:rsidR="001B1B78" w:rsidRDefault="009568A2" w:rsidP="009568A2">
      <w:pPr>
        <w:pStyle w:val="Heading1"/>
        <w:tabs>
          <w:tab w:val="center" w:pos="5040"/>
        </w:tabs>
      </w:pPr>
      <w:r w:rsidRPr="00155834">
        <w:drawing>
          <wp:anchor distT="0" distB="0" distL="114300" distR="114300" simplePos="0" relativeHeight="251659264" behindDoc="1" locked="0" layoutInCell="1" allowOverlap="1" wp14:anchorId="5E626212" wp14:editId="7F593D9A">
            <wp:simplePos x="0" y="0"/>
            <wp:positionH relativeFrom="margin">
              <wp:posOffset>1652905</wp:posOffset>
            </wp:positionH>
            <wp:positionV relativeFrom="margin">
              <wp:posOffset>-448945</wp:posOffset>
            </wp:positionV>
            <wp:extent cx="3088640" cy="779145"/>
            <wp:effectExtent l="0" t="0" r="0" b="0"/>
            <wp:wrapNone/>
            <wp:docPr id="1" name="Picture 1" descr="Logo for Academic Senate for California Community Colleg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cademic Senate for California Community College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88640" cy="779145"/>
                    </a:xfrm>
                    <a:prstGeom prst="rect">
                      <a:avLst/>
                    </a:prstGeom>
                  </pic:spPr>
                </pic:pic>
              </a:graphicData>
            </a:graphic>
            <wp14:sizeRelH relativeFrom="page">
              <wp14:pctWidth>0</wp14:pctWidth>
            </wp14:sizeRelH>
            <wp14:sizeRelV relativeFrom="page">
              <wp14:pctHeight>0</wp14:pctHeight>
            </wp14:sizeRelV>
          </wp:anchor>
        </w:drawing>
      </w:r>
      <w:r w:rsidR="00C42727">
        <w:t xml:space="preserve">2024 </w:t>
      </w:r>
      <w:r w:rsidR="00F86F88" w:rsidRPr="00F86F88">
        <w:t xml:space="preserve">Fall </w:t>
      </w:r>
      <w:r w:rsidR="004A0734">
        <w:t>Plenary Session</w:t>
      </w:r>
      <w:r w:rsidR="00F86F88" w:rsidRPr="00F86F88">
        <w:t xml:space="preserve"> Resolutions</w:t>
      </w:r>
    </w:p>
    <w:p w14:paraId="66AA2932" w14:textId="77777777" w:rsidR="00F04D0C" w:rsidRPr="00F04D0C" w:rsidRDefault="00F04D0C" w:rsidP="005075AA">
      <w:pPr>
        <w:pStyle w:val="Title"/>
        <w:jc w:val="center"/>
      </w:pPr>
    </w:p>
    <w:p w14:paraId="2D646787" w14:textId="3BC41E76" w:rsidR="00C73054" w:rsidRDefault="00F86F88" w:rsidP="005075AA">
      <w:pPr>
        <w:pStyle w:val="Title"/>
        <w:jc w:val="center"/>
        <w:rPr>
          <w:rFonts w:asciiTheme="minorHAnsi" w:hAnsiTheme="minorHAnsi" w:cstheme="minorHAnsi"/>
          <w:sz w:val="36"/>
          <w:szCs w:val="36"/>
        </w:rPr>
      </w:pPr>
      <w:r w:rsidRPr="00D64C5A">
        <w:rPr>
          <w:rFonts w:asciiTheme="minorHAnsi" w:hAnsiTheme="minorHAnsi" w:cstheme="minorHAnsi"/>
          <w:sz w:val="36"/>
          <w:szCs w:val="36"/>
        </w:rPr>
        <w:t>For Discussion</w:t>
      </w:r>
      <w:r w:rsidR="004A0734" w:rsidRPr="00D64C5A">
        <w:rPr>
          <w:rFonts w:asciiTheme="minorHAnsi" w:hAnsiTheme="minorHAnsi" w:cstheme="minorHAnsi"/>
          <w:sz w:val="36"/>
          <w:szCs w:val="36"/>
        </w:rPr>
        <w:t xml:space="preserve"> at Area Meetings</w:t>
      </w:r>
      <w:r w:rsidRPr="00D64C5A">
        <w:rPr>
          <w:rFonts w:asciiTheme="minorHAnsi" w:hAnsiTheme="minorHAnsi" w:cstheme="minorHAnsi"/>
          <w:sz w:val="36"/>
          <w:szCs w:val="36"/>
        </w:rPr>
        <w:t xml:space="preserve"> – </w:t>
      </w:r>
      <w:r w:rsidR="003A633D" w:rsidRPr="00D64C5A">
        <w:rPr>
          <w:rFonts w:asciiTheme="minorHAnsi" w:hAnsiTheme="minorHAnsi" w:cstheme="minorHAnsi"/>
          <w:sz w:val="36"/>
          <w:szCs w:val="36"/>
        </w:rPr>
        <w:t>Friday</w:t>
      </w:r>
      <w:r w:rsidRPr="00D64C5A">
        <w:rPr>
          <w:rFonts w:asciiTheme="minorHAnsi" w:hAnsiTheme="minorHAnsi" w:cstheme="minorHAnsi"/>
          <w:sz w:val="36"/>
          <w:szCs w:val="36"/>
        </w:rPr>
        <w:t xml:space="preserve">, </w:t>
      </w:r>
      <w:r w:rsidR="00405755" w:rsidRPr="00D64C5A">
        <w:rPr>
          <w:rFonts w:asciiTheme="minorHAnsi" w:hAnsiTheme="minorHAnsi" w:cstheme="minorHAnsi"/>
          <w:sz w:val="36"/>
          <w:szCs w:val="36"/>
        </w:rPr>
        <w:t>October 18</w:t>
      </w:r>
      <w:r w:rsidRPr="00D64C5A">
        <w:rPr>
          <w:rFonts w:asciiTheme="minorHAnsi" w:hAnsiTheme="minorHAnsi" w:cstheme="minorHAnsi"/>
          <w:sz w:val="36"/>
          <w:szCs w:val="36"/>
        </w:rPr>
        <w:t>, 202</w:t>
      </w:r>
      <w:r w:rsidR="00405755" w:rsidRPr="00D64C5A">
        <w:rPr>
          <w:rFonts w:asciiTheme="minorHAnsi" w:hAnsiTheme="minorHAnsi" w:cstheme="minorHAnsi"/>
          <w:sz w:val="36"/>
          <w:szCs w:val="36"/>
        </w:rPr>
        <w:t>4</w:t>
      </w:r>
    </w:p>
    <w:p w14:paraId="4A0B3B26" w14:textId="77777777" w:rsidR="00D64C5A" w:rsidRPr="00D64C5A" w:rsidRDefault="00D64C5A" w:rsidP="00D64C5A"/>
    <w:p w14:paraId="3941CA6B" w14:textId="77777777" w:rsidR="005075AA" w:rsidRPr="005075AA" w:rsidRDefault="005075AA" w:rsidP="005075AA"/>
    <w:p w14:paraId="7FE47D55" w14:textId="4C3C6A58" w:rsidR="00AE1B9C" w:rsidRPr="00365492" w:rsidRDefault="00AE1B9C" w:rsidP="005075AA">
      <w:pPr>
        <w:pStyle w:val="NoSpacing"/>
      </w:pPr>
      <w:r w:rsidRPr="00365492">
        <w:t xml:space="preserve">Disclaimer: </w:t>
      </w:r>
    </w:p>
    <w:p w14:paraId="7BA9172B" w14:textId="43A20618" w:rsidR="00AE1B9C" w:rsidRDefault="00AE1B9C" w:rsidP="005075AA">
      <w:pPr>
        <w:pStyle w:val="NoSpacing"/>
      </w:pPr>
      <w:r w:rsidRPr="00365492">
        <w:t xml:space="preserve">The enclosed resolutions do not reflect the position of the Academic Senate for California Community Colleges, its Executive Committee, or standing committees. They are presented for the purpose of discussion by the field and are to be debated and voted on by academic senate delegates at the Academic Senate Fall Plenary Session held on November </w:t>
      </w:r>
      <w:r w:rsidR="00282A4B">
        <w:t>9</w:t>
      </w:r>
      <w:r w:rsidRPr="00365492">
        <w:t>, 202</w:t>
      </w:r>
      <w:r w:rsidR="00282A4B">
        <w:t>4</w:t>
      </w:r>
      <w:r w:rsidRPr="00365492">
        <w:t>.</w:t>
      </w:r>
    </w:p>
    <w:p w14:paraId="49FD772F" w14:textId="77777777" w:rsidR="00F04D0C" w:rsidRDefault="00F04D0C" w:rsidP="00365492">
      <w:pPr>
        <w:spacing w:after="180" w:line="320" w:lineRule="exact"/>
        <w:ind w:left="1440" w:right="1440"/>
        <w:rPr>
          <w:sz w:val="24"/>
          <w:szCs w:val="21"/>
        </w:rPr>
      </w:pPr>
    </w:p>
    <w:p w14:paraId="6A32C23E" w14:textId="77777777" w:rsidR="00F04D0C" w:rsidRPr="00365492" w:rsidRDefault="00F04D0C" w:rsidP="00365492">
      <w:pPr>
        <w:spacing w:after="180" w:line="320" w:lineRule="exact"/>
        <w:ind w:left="1440" w:right="1440"/>
        <w:rPr>
          <w:sz w:val="24"/>
          <w:szCs w:val="21"/>
        </w:rPr>
      </w:pPr>
    </w:p>
    <w:p w14:paraId="20EABF0A" w14:textId="5BE4DAB7" w:rsidR="00AE1B9C" w:rsidRDefault="00BD114C" w:rsidP="005075AA">
      <w:pPr>
        <w:pStyle w:val="NoSpacing"/>
        <w:rPr>
          <w:b/>
          <w:bCs/>
          <w:sz w:val="32"/>
          <w:szCs w:val="32"/>
        </w:rPr>
      </w:pPr>
      <w:r>
        <w:rPr>
          <w:b/>
          <w:bCs/>
          <w:sz w:val="32"/>
          <w:szCs w:val="32"/>
        </w:rPr>
        <w:t xml:space="preserve">ASCCC 2024-2025 </w:t>
      </w:r>
      <w:r w:rsidR="00AE1B9C" w:rsidRPr="005075AA">
        <w:rPr>
          <w:b/>
          <w:bCs/>
          <w:sz w:val="32"/>
          <w:szCs w:val="32"/>
        </w:rPr>
        <w:t>Resolutions Committee</w:t>
      </w:r>
    </w:p>
    <w:p w14:paraId="370CF8F3" w14:textId="77777777" w:rsidR="00BD114C" w:rsidRPr="005075AA" w:rsidRDefault="00BD114C" w:rsidP="005075AA">
      <w:pPr>
        <w:pStyle w:val="NoSpacing"/>
        <w:rPr>
          <w:b/>
          <w:bCs/>
          <w:sz w:val="32"/>
          <w:szCs w:val="32"/>
        </w:rPr>
      </w:pPr>
    </w:p>
    <w:p w14:paraId="68AFA431" w14:textId="524B193B" w:rsidR="00AE1B9C" w:rsidRPr="00BD114C" w:rsidRDefault="0046600F" w:rsidP="005075AA">
      <w:pPr>
        <w:pStyle w:val="NoSpacing"/>
        <w:rPr>
          <w:sz w:val="24"/>
          <w:szCs w:val="24"/>
        </w:rPr>
      </w:pPr>
      <w:r w:rsidRPr="00BD114C">
        <w:rPr>
          <w:sz w:val="24"/>
          <w:szCs w:val="24"/>
        </w:rPr>
        <w:t>Robert L. Stewart, Jr</w:t>
      </w:r>
      <w:r w:rsidR="00AE1B9C" w:rsidRPr="00BD114C">
        <w:rPr>
          <w:sz w:val="24"/>
          <w:szCs w:val="24"/>
        </w:rPr>
        <w:t>, ASCCC Resolutions Chair</w:t>
      </w:r>
      <w:r w:rsidR="00093B1E" w:rsidRPr="00BD114C">
        <w:rPr>
          <w:sz w:val="24"/>
          <w:szCs w:val="24"/>
        </w:rPr>
        <w:t>, Area C</w:t>
      </w:r>
    </w:p>
    <w:p w14:paraId="353AE988" w14:textId="4A06F39B" w:rsidR="00AE1B9C" w:rsidRPr="00BD114C" w:rsidRDefault="0046600F" w:rsidP="005075AA">
      <w:pPr>
        <w:pStyle w:val="NoSpacing"/>
        <w:rPr>
          <w:sz w:val="24"/>
          <w:szCs w:val="24"/>
        </w:rPr>
      </w:pPr>
      <w:r w:rsidRPr="00BD114C">
        <w:rPr>
          <w:sz w:val="24"/>
          <w:szCs w:val="24"/>
        </w:rPr>
        <w:t>Dr. Karen Chow</w:t>
      </w:r>
      <w:r w:rsidR="00AE1B9C" w:rsidRPr="00BD114C">
        <w:rPr>
          <w:sz w:val="24"/>
          <w:szCs w:val="24"/>
        </w:rPr>
        <w:t xml:space="preserve">, ASCCC </w:t>
      </w:r>
      <w:r w:rsidR="000445F5">
        <w:rPr>
          <w:sz w:val="24"/>
          <w:szCs w:val="24"/>
        </w:rPr>
        <w:t>At-Large Representative</w:t>
      </w:r>
      <w:r w:rsidR="00093B1E" w:rsidRPr="00BD114C">
        <w:rPr>
          <w:sz w:val="24"/>
          <w:szCs w:val="24"/>
        </w:rPr>
        <w:t>, Area B</w:t>
      </w:r>
    </w:p>
    <w:p w14:paraId="301DD84E" w14:textId="77777777" w:rsidR="00AE1B9C" w:rsidRPr="00BD114C" w:rsidRDefault="00AE1B9C" w:rsidP="005075AA">
      <w:pPr>
        <w:pStyle w:val="NoSpacing"/>
        <w:rPr>
          <w:sz w:val="24"/>
          <w:szCs w:val="24"/>
        </w:rPr>
      </w:pPr>
      <w:r w:rsidRPr="00BD114C">
        <w:rPr>
          <w:sz w:val="24"/>
          <w:szCs w:val="24"/>
        </w:rPr>
        <w:t>Davena Burns-Peters, San Bernardino Valley College, Area D</w:t>
      </w:r>
    </w:p>
    <w:p w14:paraId="03FFF045" w14:textId="609C6B59" w:rsidR="00AE1B9C" w:rsidRPr="00BD114C" w:rsidRDefault="0091467A" w:rsidP="005075AA">
      <w:pPr>
        <w:pStyle w:val="NoSpacing"/>
        <w:rPr>
          <w:sz w:val="24"/>
          <w:szCs w:val="24"/>
        </w:rPr>
      </w:pPr>
      <w:r w:rsidRPr="00BD114C">
        <w:rPr>
          <w:sz w:val="24"/>
          <w:szCs w:val="24"/>
        </w:rPr>
        <w:t>Nikki Grose</w:t>
      </w:r>
      <w:r w:rsidR="00AE1B9C" w:rsidRPr="00BD114C">
        <w:rPr>
          <w:sz w:val="24"/>
          <w:szCs w:val="24"/>
        </w:rPr>
        <w:t xml:space="preserve">, </w:t>
      </w:r>
      <w:r w:rsidRPr="00BD114C">
        <w:rPr>
          <w:sz w:val="24"/>
          <w:szCs w:val="24"/>
        </w:rPr>
        <w:t>Feather River College</w:t>
      </w:r>
      <w:r w:rsidR="00AE1B9C" w:rsidRPr="00BD114C">
        <w:rPr>
          <w:sz w:val="24"/>
          <w:szCs w:val="24"/>
        </w:rPr>
        <w:t>, Area A</w:t>
      </w:r>
    </w:p>
    <w:p w14:paraId="355B059F" w14:textId="77777777" w:rsidR="00365492" w:rsidRPr="00BD114C" w:rsidRDefault="00093B1E" w:rsidP="005075AA">
      <w:pPr>
        <w:pStyle w:val="NoSpacing"/>
        <w:rPr>
          <w:sz w:val="24"/>
          <w:szCs w:val="24"/>
        </w:rPr>
      </w:pPr>
      <w:proofErr w:type="spellStart"/>
      <w:r w:rsidRPr="00BD114C">
        <w:rPr>
          <w:sz w:val="24"/>
          <w:szCs w:val="24"/>
        </w:rPr>
        <w:t>Yutin</w:t>
      </w:r>
      <w:proofErr w:type="spellEnd"/>
      <w:r w:rsidRPr="00BD114C">
        <w:rPr>
          <w:sz w:val="24"/>
          <w:szCs w:val="24"/>
        </w:rPr>
        <w:t xml:space="preserve"> Lin, Sierra College</w:t>
      </w:r>
      <w:r w:rsidR="00AE1B9C" w:rsidRPr="00BD114C">
        <w:rPr>
          <w:sz w:val="24"/>
          <w:szCs w:val="24"/>
        </w:rPr>
        <w:t xml:space="preserve">, Area </w:t>
      </w:r>
      <w:bookmarkStart w:id="0" w:name="_Toc115935474"/>
      <w:bookmarkStart w:id="1" w:name="_Toc149835079"/>
      <w:r w:rsidRPr="00BD114C">
        <w:rPr>
          <w:sz w:val="24"/>
          <w:szCs w:val="24"/>
        </w:rPr>
        <w:t>A</w:t>
      </w:r>
    </w:p>
    <w:p w14:paraId="3E4F7ECF" w14:textId="0D6AF4F5" w:rsidR="00EB6EDC" w:rsidRPr="00BD114C" w:rsidRDefault="00EB6EDC" w:rsidP="005075AA">
      <w:pPr>
        <w:pStyle w:val="NoSpacing"/>
        <w:rPr>
          <w:sz w:val="24"/>
          <w:szCs w:val="24"/>
        </w:rPr>
      </w:pPr>
      <w:proofErr w:type="spellStart"/>
      <w:r w:rsidRPr="00BD114C">
        <w:rPr>
          <w:sz w:val="24"/>
          <w:szCs w:val="24"/>
        </w:rPr>
        <w:t>Krystinne</w:t>
      </w:r>
      <w:proofErr w:type="spellEnd"/>
      <w:r w:rsidRPr="00BD114C">
        <w:rPr>
          <w:sz w:val="24"/>
          <w:szCs w:val="24"/>
        </w:rPr>
        <w:t xml:space="preserve"> Mica, ASCCC Executive Director</w:t>
      </w:r>
    </w:p>
    <w:p w14:paraId="0CB148EF" w14:textId="54245501" w:rsidR="005A53B6" w:rsidRDefault="005A53B6" w:rsidP="00EB6EDC">
      <w:pPr>
        <w:pStyle w:val="BulletedListwobullets"/>
        <w:numPr>
          <w:ilvl w:val="0"/>
          <w:numId w:val="0"/>
        </w:numPr>
        <w:spacing w:afterLines="180" w:after="432" w:line="320" w:lineRule="exact"/>
        <w:ind w:left="72" w:right="1440" w:firstLine="288"/>
        <w:rPr>
          <w:sz w:val="24"/>
          <w:szCs w:val="21"/>
        </w:rPr>
        <w:sectPr w:rsidR="005A53B6" w:rsidSect="009568A2">
          <w:footerReference w:type="even" r:id="rId9"/>
          <w:footerReference w:type="default" r:id="rId10"/>
          <w:type w:val="continuous"/>
          <w:pgSz w:w="12240" w:h="15840"/>
          <w:pgMar w:top="2520" w:right="1080" w:bottom="533" w:left="1080" w:header="0" w:footer="432" w:gutter="0"/>
          <w:cols w:space="720"/>
          <w:titlePg/>
          <w:docGrid w:linePitch="360"/>
        </w:sectPr>
      </w:pPr>
    </w:p>
    <w:p w14:paraId="74CBD2A1" w14:textId="77777777" w:rsidR="008F633B" w:rsidRDefault="00120D41" w:rsidP="00120D41">
      <w:pPr>
        <w:pStyle w:val="TOCHeading"/>
      </w:pPr>
      <w:r w:rsidRPr="00120D41">
        <w:lastRenderedPageBreak/>
        <w:t>Table of Contents</w:t>
      </w:r>
      <w:r>
        <w:fldChar w:fldCharType="begin"/>
      </w:r>
      <w:r w:rsidRPr="00120D41">
        <w:instrText xml:space="preserve"> TOC \t "Heading 2,1,Heading 3,2" </w:instrText>
      </w:r>
      <w:r>
        <w:fldChar w:fldCharType="separate"/>
      </w:r>
    </w:p>
    <w:p w14:paraId="4A5C5F87" w14:textId="36ACB749" w:rsidR="008F633B" w:rsidRDefault="008F633B">
      <w:pPr>
        <w:pStyle w:val="TOC1"/>
        <w:rPr>
          <w:rFonts w:eastAsiaTheme="minorEastAsia" w:cstheme="minorBidi"/>
          <w:kern w:val="2"/>
          <w:sz w:val="24"/>
          <w:szCs w:val="24"/>
          <w14:ligatures w14:val="standardContextual"/>
        </w:rPr>
      </w:pPr>
      <w:r>
        <w:t>PLENARY RESOLUTIONS PROCESS</w:t>
      </w:r>
      <w:r>
        <w:tab/>
      </w:r>
      <w:r>
        <w:fldChar w:fldCharType="begin"/>
      </w:r>
      <w:r>
        <w:instrText xml:space="preserve"> PAGEREF _Toc179530178 \h </w:instrText>
      </w:r>
      <w:r>
        <w:fldChar w:fldCharType="separate"/>
      </w:r>
      <w:r>
        <w:t>2</w:t>
      </w:r>
      <w:r>
        <w:fldChar w:fldCharType="end"/>
      </w:r>
    </w:p>
    <w:p w14:paraId="54C98D3E" w14:textId="0ECA468D" w:rsidR="008F633B" w:rsidRDefault="008F633B">
      <w:pPr>
        <w:pStyle w:val="TOC1"/>
        <w:rPr>
          <w:rFonts w:eastAsiaTheme="minorEastAsia" w:cstheme="minorBidi"/>
          <w:kern w:val="2"/>
          <w:sz w:val="24"/>
          <w:szCs w:val="24"/>
          <w14:ligatures w14:val="standardContextual"/>
        </w:rPr>
      </w:pPr>
      <w:r>
        <w:t>Consent Calendar</w:t>
      </w:r>
      <w:r>
        <w:tab/>
      </w:r>
      <w:r>
        <w:fldChar w:fldCharType="begin"/>
      </w:r>
      <w:r>
        <w:instrText xml:space="preserve"> PAGEREF _Toc179530179 \h </w:instrText>
      </w:r>
      <w:r>
        <w:fldChar w:fldCharType="separate"/>
      </w:r>
      <w:r>
        <w:t>3</w:t>
      </w:r>
      <w:r>
        <w:fldChar w:fldCharType="end"/>
      </w:r>
    </w:p>
    <w:p w14:paraId="533C5D23" w14:textId="5CC11971" w:rsidR="008F633B" w:rsidRDefault="008F633B">
      <w:pPr>
        <w:pStyle w:val="TOC1"/>
        <w:rPr>
          <w:rFonts w:eastAsiaTheme="minorEastAsia" w:cstheme="minorBidi"/>
          <w:kern w:val="2"/>
          <w:sz w:val="24"/>
          <w:szCs w:val="24"/>
          <w14:ligatures w14:val="standardContextual"/>
        </w:rPr>
      </w:pPr>
      <w:r>
        <w:t>RESOLUTIONS CATEGORIES</w:t>
      </w:r>
      <w:r>
        <w:tab/>
      </w:r>
      <w:r>
        <w:fldChar w:fldCharType="begin"/>
      </w:r>
      <w:r>
        <w:instrText xml:space="preserve"> PAGEREF _Toc179530180 \h </w:instrText>
      </w:r>
      <w:r>
        <w:fldChar w:fldCharType="separate"/>
      </w:r>
      <w:r>
        <w:t>4</w:t>
      </w:r>
      <w:r>
        <w:fldChar w:fldCharType="end"/>
      </w:r>
    </w:p>
    <w:p w14:paraId="4DCDEAD8" w14:textId="6AE49D39" w:rsidR="008F633B" w:rsidRDefault="008F633B">
      <w:pPr>
        <w:pStyle w:val="TOC1"/>
        <w:rPr>
          <w:rFonts w:eastAsiaTheme="minorEastAsia" w:cstheme="minorBidi"/>
          <w:kern w:val="2"/>
          <w:sz w:val="24"/>
          <w:szCs w:val="24"/>
          <w14:ligatures w14:val="standardContextual"/>
        </w:rPr>
      </w:pPr>
      <w:r>
        <w:t>101 Curriculum</w:t>
      </w:r>
      <w:r>
        <w:tab/>
      </w:r>
      <w:r>
        <w:fldChar w:fldCharType="begin"/>
      </w:r>
      <w:r>
        <w:instrText xml:space="preserve"> PAGEREF _Toc179530181 \h </w:instrText>
      </w:r>
      <w:r>
        <w:fldChar w:fldCharType="separate"/>
      </w:r>
      <w:r>
        <w:t>5</w:t>
      </w:r>
      <w:r>
        <w:fldChar w:fldCharType="end"/>
      </w:r>
    </w:p>
    <w:p w14:paraId="6FB74638" w14:textId="4C6AB1F7" w:rsidR="008F633B" w:rsidRDefault="008F633B">
      <w:pPr>
        <w:pStyle w:val="TOC2"/>
        <w:rPr>
          <w:rFonts w:eastAsiaTheme="minorEastAsia" w:cstheme="minorBidi"/>
          <w:kern w:val="2"/>
          <w:sz w:val="24"/>
          <w:szCs w:val="24"/>
          <w14:ligatures w14:val="standardContextual"/>
        </w:rPr>
      </w:pPr>
      <w:r w:rsidRPr="00EB5317">
        <w:rPr>
          <w:rFonts w:eastAsia="Calibri"/>
          <w:lang w:val="en"/>
        </w:rPr>
        <w:t>*101.01 F24 Adopt Using Outcomes for the Course Outline of Record in Title 5</w:t>
      </w:r>
      <w:r>
        <w:tab/>
      </w:r>
      <w:r>
        <w:fldChar w:fldCharType="begin"/>
      </w:r>
      <w:r>
        <w:instrText xml:space="preserve"> PAGEREF _Toc179530182 \h </w:instrText>
      </w:r>
      <w:r>
        <w:fldChar w:fldCharType="separate"/>
      </w:r>
      <w:r>
        <w:t>5</w:t>
      </w:r>
      <w:r>
        <w:fldChar w:fldCharType="end"/>
      </w:r>
    </w:p>
    <w:p w14:paraId="650DC5CE" w14:textId="07A645E1" w:rsidR="008F633B" w:rsidRDefault="008F633B">
      <w:pPr>
        <w:pStyle w:val="TOC1"/>
        <w:rPr>
          <w:rFonts w:eastAsiaTheme="minorEastAsia" w:cstheme="minorBidi"/>
          <w:kern w:val="2"/>
          <w:sz w:val="24"/>
          <w:szCs w:val="24"/>
          <w14:ligatures w14:val="standardContextual"/>
        </w:rPr>
      </w:pPr>
      <w:r w:rsidRPr="00EB5317">
        <w:rPr>
          <w:rFonts w:eastAsia="Times New Roman"/>
        </w:rPr>
        <w:t>105 Student Preparation and Success</w:t>
      </w:r>
      <w:r>
        <w:tab/>
      </w:r>
      <w:r>
        <w:fldChar w:fldCharType="begin"/>
      </w:r>
      <w:r>
        <w:instrText xml:space="preserve"> PAGEREF _Toc179530183 \h </w:instrText>
      </w:r>
      <w:r>
        <w:fldChar w:fldCharType="separate"/>
      </w:r>
      <w:r>
        <w:t>6</w:t>
      </w:r>
      <w:r>
        <w:fldChar w:fldCharType="end"/>
      </w:r>
    </w:p>
    <w:p w14:paraId="5C6A6C97" w14:textId="6C98ADE2" w:rsidR="008F633B" w:rsidRDefault="008F633B">
      <w:pPr>
        <w:pStyle w:val="TOC2"/>
        <w:rPr>
          <w:rFonts w:eastAsiaTheme="minorEastAsia" w:cstheme="minorBidi"/>
          <w:kern w:val="2"/>
          <w:sz w:val="24"/>
          <w:szCs w:val="24"/>
          <w14:ligatures w14:val="standardContextual"/>
        </w:rPr>
      </w:pPr>
      <w:r>
        <w:t>*</w:t>
      </w:r>
      <w:r w:rsidRPr="00EB5317">
        <w:rPr>
          <w:rFonts w:eastAsia="Times New Roman"/>
        </w:rPr>
        <w:t>105.01 F24 Investigate Academic Renewal Policies</w:t>
      </w:r>
      <w:r>
        <w:tab/>
      </w:r>
      <w:r>
        <w:fldChar w:fldCharType="begin"/>
      </w:r>
      <w:r>
        <w:instrText xml:space="preserve"> PAGEREF _Toc179530184 \h </w:instrText>
      </w:r>
      <w:r>
        <w:fldChar w:fldCharType="separate"/>
      </w:r>
      <w:r>
        <w:t>6</w:t>
      </w:r>
      <w:r>
        <w:fldChar w:fldCharType="end"/>
      </w:r>
    </w:p>
    <w:p w14:paraId="79D4C740" w14:textId="5858CC14" w:rsidR="008F633B" w:rsidRDefault="008F633B">
      <w:pPr>
        <w:pStyle w:val="TOC1"/>
        <w:rPr>
          <w:rFonts w:eastAsiaTheme="minorEastAsia" w:cstheme="minorBidi"/>
          <w:kern w:val="2"/>
          <w:sz w:val="24"/>
          <w:szCs w:val="24"/>
          <w14:ligatures w14:val="standardContextual"/>
        </w:rPr>
      </w:pPr>
      <w:r>
        <w:t>111 Academic Senate for California Community Colleges</w:t>
      </w:r>
      <w:r>
        <w:tab/>
      </w:r>
      <w:r>
        <w:fldChar w:fldCharType="begin"/>
      </w:r>
      <w:r>
        <w:instrText xml:space="preserve"> PAGEREF _Toc179530185 \h </w:instrText>
      </w:r>
      <w:r>
        <w:fldChar w:fldCharType="separate"/>
      </w:r>
      <w:r>
        <w:t>7</w:t>
      </w:r>
      <w:r>
        <w:fldChar w:fldCharType="end"/>
      </w:r>
    </w:p>
    <w:p w14:paraId="72ECDFC1" w14:textId="15202A86" w:rsidR="008F633B" w:rsidRDefault="008F633B">
      <w:pPr>
        <w:pStyle w:val="TOC2"/>
        <w:rPr>
          <w:rFonts w:eastAsiaTheme="minorEastAsia" w:cstheme="minorBidi"/>
          <w:kern w:val="2"/>
          <w:sz w:val="24"/>
          <w:szCs w:val="24"/>
          <w14:ligatures w14:val="standardContextual"/>
        </w:rPr>
      </w:pPr>
      <w:r>
        <w:t>*111.01 F24 Update the ASCCC Paper, “The Role of Counseling Faculty and the Delivery of Counseling Services in the California Community Colleges”</w:t>
      </w:r>
      <w:r>
        <w:tab/>
      </w:r>
      <w:r>
        <w:fldChar w:fldCharType="begin"/>
      </w:r>
      <w:r>
        <w:instrText xml:space="preserve"> PAGEREF _Toc179530186 \h </w:instrText>
      </w:r>
      <w:r>
        <w:fldChar w:fldCharType="separate"/>
      </w:r>
      <w:r>
        <w:t>7</w:t>
      </w:r>
      <w:r>
        <w:fldChar w:fldCharType="end"/>
      </w:r>
    </w:p>
    <w:p w14:paraId="0450D28C" w14:textId="6F2DF950" w:rsidR="008F633B" w:rsidRDefault="008F633B">
      <w:pPr>
        <w:pStyle w:val="TOC2"/>
        <w:rPr>
          <w:rFonts w:eastAsiaTheme="minorEastAsia" w:cstheme="minorBidi"/>
          <w:kern w:val="2"/>
          <w:sz w:val="24"/>
          <w:szCs w:val="24"/>
          <w14:ligatures w14:val="standardContextual"/>
        </w:rPr>
      </w:pPr>
      <w:r w:rsidRPr="00EB5317">
        <w:rPr>
          <w:rFonts w:ascii="Times New Roman" w:eastAsia="Times New Roman" w:hAnsi="Times New Roman"/>
        </w:rPr>
        <w:t xml:space="preserve">*111.02 </w:t>
      </w:r>
      <w:r w:rsidRPr="00EB5317">
        <w:rPr>
          <w:rFonts w:eastAsia="Arial"/>
        </w:rPr>
        <w:t>F24 Academic Senate for California Community Colleges Rules Revision</w:t>
      </w:r>
      <w:r>
        <w:tab/>
      </w:r>
      <w:r>
        <w:fldChar w:fldCharType="begin"/>
      </w:r>
      <w:r>
        <w:instrText xml:space="preserve"> PAGEREF _Toc179530187 \h </w:instrText>
      </w:r>
      <w:r>
        <w:fldChar w:fldCharType="separate"/>
      </w:r>
      <w:r>
        <w:t>8</w:t>
      </w:r>
      <w:r>
        <w:fldChar w:fldCharType="end"/>
      </w:r>
    </w:p>
    <w:p w14:paraId="2BA9F9D6" w14:textId="64317420" w:rsidR="008F633B" w:rsidRDefault="008F633B">
      <w:pPr>
        <w:pStyle w:val="TOC2"/>
        <w:rPr>
          <w:rFonts w:eastAsiaTheme="minorEastAsia" w:cstheme="minorBidi"/>
          <w:kern w:val="2"/>
          <w:sz w:val="24"/>
          <w:szCs w:val="24"/>
          <w14:ligatures w14:val="standardContextual"/>
        </w:rPr>
      </w:pPr>
      <w:r w:rsidRPr="00EB5317">
        <w:rPr>
          <w:rFonts w:ascii="Times New Roman" w:eastAsia="Times New Roman" w:hAnsi="Times New Roman"/>
        </w:rPr>
        <w:t xml:space="preserve">*111.03 </w:t>
      </w:r>
      <w:r w:rsidRPr="00EB5317">
        <w:rPr>
          <w:rFonts w:eastAsia="Arial"/>
        </w:rPr>
        <w:t>F24 Academic Senate for California Community Colleges Bylaws Revision</w:t>
      </w:r>
      <w:r>
        <w:tab/>
      </w:r>
      <w:r>
        <w:fldChar w:fldCharType="begin"/>
      </w:r>
      <w:r>
        <w:instrText xml:space="preserve"> PAGEREF _Toc179530188 \h </w:instrText>
      </w:r>
      <w:r>
        <w:fldChar w:fldCharType="separate"/>
      </w:r>
      <w:r>
        <w:t>9</w:t>
      </w:r>
      <w:r>
        <w:fldChar w:fldCharType="end"/>
      </w:r>
    </w:p>
    <w:p w14:paraId="0CF181CF" w14:textId="6EA770BA" w:rsidR="00120D41" w:rsidRDefault="00120D41">
      <w:r>
        <w:fldChar w:fldCharType="end"/>
      </w:r>
    </w:p>
    <w:p w14:paraId="70BB0BE1" w14:textId="77777777" w:rsidR="00606B02" w:rsidRDefault="00606B02"/>
    <w:p w14:paraId="495B7CC6" w14:textId="77777777" w:rsidR="00606B02" w:rsidRDefault="00606B02"/>
    <w:p w14:paraId="30F3133B" w14:textId="77777777" w:rsidR="00606B02" w:rsidRDefault="00606B02"/>
    <w:p w14:paraId="19785F03" w14:textId="77777777" w:rsidR="00606B02" w:rsidRDefault="00606B02"/>
    <w:p w14:paraId="577C0000" w14:textId="77777777" w:rsidR="00606B02" w:rsidRDefault="00606B02"/>
    <w:p w14:paraId="2D20490E" w14:textId="77777777" w:rsidR="00606B02" w:rsidRDefault="00606B02"/>
    <w:p w14:paraId="4BBAA0AD" w14:textId="77777777" w:rsidR="00606B02" w:rsidRDefault="00606B02"/>
    <w:p w14:paraId="61D07694" w14:textId="77777777" w:rsidR="00606B02" w:rsidRDefault="00606B02"/>
    <w:p w14:paraId="09B19B71" w14:textId="77777777" w:rsidR="00606B02" w:rsidRDefault="00606B02"/>
    <w:p w14:paraId="71449E7D" w14:textId="77777777" w:rsidR="00606B02" w:rsidRDefault="00606B02"/>
    <w:p w14:paraId="6FEAA098" w14:textId="77777777" w:rsidR="00606B02" w:rsidRDefault="00606B02"/>
    <w:p w14:paraId="01AC33C6" w14:textId="77777777" w:rsidR="00606B02" w:rsidRDefault="00606B02"/>
    <w:p w14:paraId="06ADF8ED" w14:textId="77777777" w:rsidR="00606B02" w:rsidRDefault="00606B02"/>
    <w:p w14:paraId="4CD59989" w14:textId="77777777" w:rsidR="00606B02" w:rsidRDefault="00606B02"/>
    <w:p w14:paraId="675B73A9" w14:textId="77777777" w:rsidR="00606B02" w:rsidRDefault="00606B02"/>
    <w:p w14:paraId="4B924952" w14:textId="77777777" w:rsidR="00606B02" w:rsidRDefault="00606B02"/>
    <w:p w14:paraId="044C3E44" w14:textId="77777777" w:rsidR="00606B02" w:rsidRDefault="00606B02"/>
    <w:p w14:paraId="1878162D" w14:textId="77777777" w:rsidR="00606B02" w:rsidRDefault="00606B02"/>
    <w:p w14:paraId="28C2F082" w14:textId="77777777" w:rsidR="00606B02" w:rsidRDefault="00606B02"/>
    <w:p w14:paraId="426E679B" w14:textId="77777777" w:rsidR="00606B02" w:rsidRDefault="00606B02"/>
    <w:p w14:paraId="35EA0668" w14:textId="77777777" w:rsidR="00606B02" w:rsidRDefault="00606B02"/>
    <w:p w14:paraId="4823E7FF" w14:textId="77777777" w:rsidR="00606B02" w:rsidRDefault="00606B02"/>
    <w:p w14:paraId="2EE17BB4" w14:textId="77777777" w:rsidR="00606B02" w:rsidRDefault="00606B02"/>
    <w:p w14:paraId="184E68BE" w14:textId="77777777" w:rsidR="00606B02" w:rsidRDefault="00606B02"/>
    <w:p w14:paraId="670E9DE5" w14:textId="77777777" w:rsidR="00606B02" w:rsidRDefault="00606B02">
      <w:pPr>
        <w:rPr>
          <w:rFonts w:asciiTheme="majorHAnsi" w:eastAsiaTheme="majorEastAsia" w:hAnsiTheme="majorHAnsi" w:cs="Times New Roman (Headings CS)"/>
          <w:bCs/>
          <w:caps/>
          <w:noProof/>
          <w:color w:val="171717" w:themeColor="background2" w:themeShade="1A"/>
          <w:spacing w:val="2"/>
          <w:sz w:val="30"/>
          <w:szCs w:val="30"/>
        </w:rPr>
      </w:pPr>
    </w:p>
    <w:p w14:paraId="74DB97E2" w14:textId="77777777" w:rsidR="007F62C1" w:rsidRDefault="007F62C1" w:rsidP="006960EC">
      <w:pPr>
        <w:pStyle w:val="Heading2"/>
      </w:pPr>
      <w:bookmarkStart w:id="2" w:name="_Toc161305881"/>
      <w:bookmarkStart w:id="3" w:name="_Toc179530178"/>
      <w:bookmarkEnd w:id="0"/>
      <w:bookmarkEnd w:id="1"/>
      <w:r w:rsidRPr="004C3EFC">
        <w:lastRenderedPageBreak/>
        <w:t>PLENARY RESOLUTIONS PROCESS</w:t>
      </w:r>
      <w:bookmarkEnd w:id="2"/>
      <w:bookmarkEnd w:id="3"/>
    </w:p>
    <w:p w14:paraId="5C5FD8E3" w14:textId="77777777" w:rsidR="00E52237" w:rsidRPr="00E52237" w:rsidRDefault="00E52237" w:rsidP="00E52237"/>
    <w:p w14:paraId="275EB8A2" w14:textId="77777777" w:rsidR="007F62C1" w:rsidRPr="005C745B" w:rsidRDefault="007F62C1" w:rsidP="007F62C1">
      <w:pPr>
        <w:ind w:left="120" w:right="-14"/>
        <w:rPr>
          <w:rFonts w:eastAsia="Times New Roman" w:cstheme="minorHAnsi"/>
          <w:szCs w:val="24"/>
        </w:rPr>
      </w:pPr>
      <w:r w:rsidRPr="005C745B">
        <w:rPr>
          <w:rFonts w:eastAsia="Times New Roman" w:cstheme="minorHAnsi"/>
          <w:szCs w:val="24"/>
        </w:rPr>
        <w:t>In order to ensure that deliberations are organized, effective, and meaningful, the Academic Senate for California Community Colleges uses the following resolution procedure:</w:t>
      </w:r>
    </w:p>
    <w:p w14:paraId="77DDD852" w14:textId="77777777" w:rsidR="007F62C1" w:rsidRPr="005C745B" w:rsidRDefault="007F62C1" w:rsidP="007F62C1">
      <w:pPr>
        <w:numPr>
          <w:ilvl w:val="0"/>
          <w:numId w:val="2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Pre-</w:t>
      </w:r>
      <w:r>
        <w:rPr>
          <w:rFonts w:eastAsia="Times New Roman" w:cstheme="minorHAnsi"/>
          <w:szCs w:val="24"/>
        </w:rPr>
        <w:t>plenary</w:t>
      </w:r>
      <w:r w:rsidRPr="005C745B">
        <w:rPr>
          <w:rFonts w:eastAsia="Times New Roman" w:cstheme="minorHAnsi"/>
          <w:szCs w:val="24"/>
        </w:rPr>
        <w:t xml:space="preserve"> resolutions are developed by the Executive Committee (through its committees) and submitted to the pre-</w:t>
      </w:r>
      <w:r>
        <w:rPr>
          <w:rFonts w:eastAsia="Times New Roman" w:cstheme="minorHAnsi"/>
          <w:szCs w:val="24"/>
        </w:rPr>
        <w:t>plenary</w:t>
      </w:r>
      <w:r w:rsidRPr="005C745B">
        <w:rPr>
          <w:rFonts w:eastAsia="Times New Roman" w:cstheme="minorHAnsi"/>
          <w:szCs w:val="24"/>
        </w:rPr>
        <w:t xml:space="preserve"> </w:t>
      </w:r>
      <w:r>
        <w:rPr>
          <w:rFonts w:eastAsia="Times New Roman" w:cstheme="minorHAnsi"/>
          <w:szCs w:val="24"/>
        </w:rPr>
        <w:t>a</w:t>
      </w:r>
      <w:r w:rsidRPr="005C745B">
        <w:rPr>
          <w:rFonts w:eastAsia="Times New Roman" w:cstheme="minorHAnsi"/>
          <w:szCs w:val="24"/>
        </w:rPr>
        <w:t>rea meetings for review.</w:t>
      </w:r>
    </w:p>
    <w:p w14:paraId="14C0A7D8" w14:textId="77777777" w:rsidR="007F62C1" w:rsidRPr="005C745B" w:rsidRDefault="007F62C1" w:rsidP="007F62C1">
      <w:pPr>
        <w:numPr>
          <w:ilvl w:val="0"/>
          <w:numId w:val="2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Amendments and new pre-</w:t>
      </w:r>
      <w:r>
        <w:rPr>
          <w:rFonts w:eastAsia="Times New Roman" w:cstheme="minorHAnsi"/>
          <w:szCs w:val="24"/>
        </w:rPr>
        <w:t>plenary</w:t>
      </w:r>
      <w:r w:rsidRPr="005C745B">
        <w:rPr>
          <w:rFonts w:eastAsia="Times New Roman" w:cstheme="minorHAnsi"/>
          <w:szCs w:val="24"/>
        </w:rPr>
        <w:t xml:space="preserve"> resolutions are generated in the </w:t>
      </w:r>
      <w:r>
        <w:rPr>
          <w:rFonts w:eastAsia="Times New Roman" w:cstheme="minorHAnsi"/>
          <w:szCs w:val="24"/>
        </w:rPr>
        <w:t>a</w:t>
      </w:r>
      <w:r w:rsidRPr="005C745B">
        <w:rPr>
          <w:rFonts w:eastAsia="Times New Roman" w:cstheme="minorHAnsi"/>
          <w:szCs w:val="24"/>
        </w:rPr>
        <w:t>rea meetings.</w:t>
      </w:r>
    </w:p>
    <w:p w14:paraId="3DF3CC3B" w14:textId="77777777" w:rsidR="007F62C1" w:rsidRPr="005C745B" w:rsidRDefault="007F62C1" w:rsidP="007F62C1">
      <w:pPr>
        <w:numPr>
          <w:ilvl w:val="0"/>
          <w:numId w:val="2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The Resolutions Committee meets to review all pre-</w:t>
      </w:r>
      <w:r>
        <w:rPr>
          <w:rFonts w:eastAsia="Times New Roman" w:cstheme="minorHAnsi"/>
          <w:szCs w:val="24"/>
        </w:rPr>
        <w:t>plenary</w:t>
      </w:r>
      <w:r w:rsidRPr="005C745B">
        <w:rPr>
          <w:rFonts w:eastAsia="Times New Roman" w:cstheme="minorHAnsi"/>
          <w:szCs w:val="24"/>
        </w:rPr>
        <w:t xml:space="preserve"> resolutions and combine, reword, append, or render moot these resolutions as necessary.</w:t>
      </w:r>
    </w:p>
    <w:p w14:paraId="4CEEC734" w14:textId="77777777" w:rsidR="007F62C1" w:rsidRPr="005C745B" w:rsidRDefault="007F62C1" w:rsidP="007F62C1">
      <w:pPr>
        <w:numPr>
          <w:ilvl w:val="0"/>
          <w:numId w:val="2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Resolutions and amendments must be submitted to the Resolutions Committee before the posted deadlines each day</w:t>
      </w:r>
      <w:r>
        <w:rPr>
          <w:rFonts w:eastAsia="Times New Roman" w:cstheme="minorHAnsi"/>
          <w:szCs w:val="24"/>
        </w:rPr>
        <w:t xml:space="preserve"> by using the webform available on the </w:t>
      </w:r>
      <w:hyperlink r:id="rId11" w:history="1">
        <w:r w:rsidRPr="005911BF">
          <w:rPr>
            <w:rStyle w:val="Hyperlink"/>
            <w:rFonts w:eastAsia="Times New Roman" w:cstheme="minorHAnsi"/>
            <w:szCs w:val="24"/>
          </w:rPr>
          <w:t>Resolutions Process webpage</w:t>
        </w:r>
      </w:hyperlink>
      <w:r w:rsidRPr="005C745B">
        <w:rPr>
          <w:rFonts w:eastAsia="Times New Roman" w:cstheme="minorHAnsi"/>
          <w:szCs w:val="24"/>
        </w:rPr>
        <w:t xml:space="preserve">. </w:t>
      </w:r>
    </w:p>
    <w:p w14:paraId="7F5CF293" w14:textId="77777777" w:rsidR="007F62C1" w:rsidRPr="005C745B" w:rsidRDefault="007F62C1" w:rsidP="007F62C1">
      <w:pPr>
        <w:numPr>
          <w:ilvl w:val="0"/>
          <w:numId w:val="2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New resolutions submitted on the second day of the plenary session are held to the next session unless the resolution is declared urgent by the Executive Committee.</w:t>
      </w:r>
    </w:p>
    <w:p w14:paraId="2BD2E5B1" w14:textId="77777777" w:rsidR="007F62C1" w:rsidRPr="005C745B" w:rsidRDefault="007F62C1" w:rsidP="007F62C1">
      <w:pPr>
        <w:numPr>
          <w:ilvl w:val="0"/>
          <w:numId w:val="23"/>
        </w:numPr>
        <w:spacing w:after="0" w:line="240" w:lineRule="auto"/>
        <w:ind w:left="630" w:right="-14" w:hanging="180"/>
        <w:textAlignment w:val="baseline"/>
        <w:rPr>
          <w:rFonts w:eastAsia="Times New Roman" w:cstheme="minorHAnsi"/>
          <w:szCs w:val="24"/>
        </w:rPr>
      </w:pPr>
      <w:r>
        <w:rPr>
          <w:rFonts w:eastAsia="Times New Roman" w:cstheme="minorHAnsi"/>
          <w:szCs w:val="24"/>
        </w:rPr>
        <w:t>R</w:t>
      </w:r>
      <w:r w:rsidRPr="005C745B">
        <w:rPr>
          <w:rFonts w:eastAsia="Times New Roman" w:cstheme="minorHAnsi"/>
          <w:szCs w:val="24"/>
        </w:rPr>
        <w:t xml:space="preserve">esolutions </w:t>
      </w:r>
      <w:r>
        <w:rPr>
          <w:rFonts w:eastAsia="Times New Roman" w:cstheme="minorHAnsi"/>
          <w:szCs w:val="24"/>
        </w:rPr>
        <w:t xml:space="preserve">and amendments </w:t>
      </w:r>
      <w:r w:rsidRPr="005C745B">
        <w:rPr>
          <w:rFonts w:eastAsia="Times New Roman" w:cstheme="minorHAnsi"/>
          <w:szCs w:val="24"/>
        </w:rPr>
        <w:t>are debated and voted upon in the general sessions on the last day of the plenary session by the delegates.</w:t>
      </w:r>
    </w:p>
    <w:p w14:paraId="54C28D8B" w14:textId="77777777" w:rsidR="007F62C1" w:rsidRPr="005C745B" w:rsidRDefault="007F62C1" w:rsidP="007F62C1">
      <w:pPr>
        <w:numPr>
          <w:ilvl w:val="0"/>
          <w:numId w:val="23"/>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 xml:space="preserve">All resources are available on the </w:t>
      </w:r>
      <w:hyperlink r:id="rId12" w:history="1">
        <w:r w:rsidRPr="00F915AC">
          <w:rPr>
            <w:rStyle w:val="Hyperlink"/>
            <w:rFonts w:eastAsia="Times New Roman" w:cstheme="minorHAnsi"/>
            <w:szCs w:val="24"/>
          </w:rPr>
          <w:t>ASCCC website</w:t>
        </w:r>
      </w:hyperlink>
      <w:r w:rsidRPr="005C745B">
        <w:rPr>
          <w:rFonts w:eastAsia="Times New Roman" w:cstheme="minorHAnsi"/>
          <w:szCs w:val="24"/>
        </w:rPr>
        <w:t>.</w:t>
      </w:r>
    </w:p>
    <w:p w14:paraId="46BCE9F5" w14:textId="77777777" w:rsidR="007F62C1" w:rsidRPr="005C745B" w:rsidRDefault="007F62C1" w:rsidP="007F62C1">
      <w:pPr>
        <w:spacing w:after="0"/>
        <w:ind w:right="-14"/>
        <w:rPr>
          <w:rFonts w:eastAsia="Times New Roman" w:cstheme="minorHAnsi"/>
          <w:szCs w:val="24"/>
        </w:rPr>
      </w:pPr>
    </w:p>
    <w:p w14:paraId="58683B63" w14:textId="77777777" w:rsidR="007F62C1" w:rsidRPr="005C745B" w:rsidRDefault="007F62C1" w:rsidP="007F62C1">
      <w:pPr>
        <w:ind w:left="119" w:right="-14"/>
        <w:rPr>
          <w:rFonts w:eastAsia="Times New Roman" w:cstheme="minorHAnsi"/>
          <w:szCs w:val="24"/>
        </w:rPr>
      </w:pPr>
      <w:r w:rsidRPr="005C745B">
        <w:rPr>
          <w:rFonts w:eastAsia="Times New Roman" w:cstheme="minorHAnsi"/>
          <w:szCs w:val="24"/>
        </w:rPr>
        <w:t>Prior to plenary session, it is each attendee’s responsibility to read the following documents:</w:t>
      </w:r>
    </w:p>
    <w:p w14:paraId="31BB2792" w14:textId="77777777" w:rsidR="007F62C1" w:rsidRPr="005C745B" w:rsidRDefault="007F62C1" w:rsidP="007F62C1">
      <w:pPr>
        <w:numPr>
          <w:ilvl w:val="0"/>
          <w:numId w:val="24"/>
        </w:numPr>
        <w:spacing w:after="0" w:line="240" w:lineRule="auto"/>
        <w:ind w:left="630" w:right="-14" w:hanging="180"/>
        <w:textAlignment w:val="baseline"/>
        <w:rPr>
          <w:rFonts w:eastAsia="Times New Roman" w:cstheme="minorHAnsi"/>
          <w:szCs w:val="24"/>
        </w:rPr>
      </w:pPr>
      <w:r w:rsidRPr="005C745B">
        <w:rPr>
          <w:rFonts w:eastAsia="Times New Roman" w:cstheme="minorHAnsi"/>
          <w:szCs w:val="24"/>
        </w:rPr>
        <w:t>Senate Delegate Roles and Responsibilities (</w:t>
      </w:r>
      <w:r>
        <w:rPr>
          <w:rFonts w:eastAsia="Times New Roman" w:cstheme="minorHAnsi"/>
          <w:szCs w:val="24"/>
        </w:rPr>
        <w:t>found in</w:t>
      </w:r>
      <w:r w:rsidRPr="005C745B">
        <w:rPr>
          <w:rFonts w:eastAsia="Times New Roman" w:cstheme="minorHAnsi"/>
          <w:szCs w:val="24"/>
        </w:rPr>
        <w:t xml:space="preserve"> </w:t>
      </w:r>
      <w:hyperlink r:id="rId13" w:history="1">
        <w:r w:rsidRPr="00477521">
          <w:rPr>
            <w:rStyle w:val="Hyperlink"/>
            <w:rFonts w:eastAsia="Times New Roman" w:cstheme="minorHAnsi"/>
            <w:i/>
            <w:iCs/>
            <w:szCs w:val="24"/>
          </w:rPr>
          <w:t>Local Senates Handbook</w:t>
        </w:r>
      </w:hyperlink>
      <w:r w:rsidRPr="005C745B">
        <w:rPr>
          <w:rFonts w:eastAsia="Times New Roman" w:cstheme="minorHAnsi"/>
          <w:szCs w:val="24"/>
        </w:rPr>
        <w:t>)</w:t>
      </w:r>
    </w:p>
    <w:p w14:paraId="73E9E760" w14:textId="1E1D3245" w:rsidR="007F62C1" w:rsidRDefault="007F62C1" w:rsidP="007F62C1">
      <w:pPr>
        <w:numPr>
          <w:ilvl w:val="0"/>
          <w:numId w:val="24"/>
        </w:numPr>
        <w:spacing w:after="0" w:line="240" w:lineRule="auto"/>
        <w:ind w:left="630" w:right="-14" w:hanging="180"/>
        <w:textAlignment w:val="baseline"/>
        <w:rPr>
          <w:rFonts w:eastAsia="Times New Roman" w:cstheme="minorHAnsi"/>
          <w:szCs w:val="24"/>
          <w:u w:val="single"/>
        </w:rPr>
      </w:pPr>
      <w:r w:rsidRPr="005C745B">
        <w:rPr>
          <w:rFonts w:eastAsia="Times New Roman" w:cstheme="minorHAnsi"/>
          <w:szCs w:val="24"/>
        </w:rPr>
        <w:t xml:space="preserve">Resolution Procedures (Part II in </w:t>
      </w:r>
      <w:hyperlink r:id="rId14" w:history="1">
        <w:r w:rsidRPr="005E6652">
          <w:rPr>
            <w:rStyle w:val="Hyperlink"/>
            <w:rFonts w:eastAsia="Times New Roman" w:cstheme="minorHAnsi"/>
            <w:i/>
            <w:iCs/>
            <w:szCs w:val="24"/>
          </w:rPr>
          <w:t>Resolutions Handbook</w:t>
        </w:r>
      </w:hyperlink>
      <w:r w:rsidRPr="001E446E">
        <w:rPr>
          <w:rFonts w:eastAsia="Times New Roman" w:cstheme="minorHAnsi"/>
          <w:szCs w:val="24"/>
          <w:u w:val="single"/>
        </w:rPr>
        <w:t>)</w:t>
      </w:r>
    </w:p>
    <w:p w14:paraId="6F5E37D2" w14:textId="2DFA7AB9" w:rsidR="007F62C1" w:rsidRPr="00493065" w:rsidRDefault="007F62C1" w:rsidP="007F62C1">
      <w:pPr>
        <w:numPr>
          <w:ilvl w:val="0"/>
          <w:numId w:val="24"/>
        </w:numPr>
        <w:spacing w:after="0" w:line="240" w:lineRule="auto"/>
        <w:ind w:left="630" w:right="-14" w:hanging="180"/>
        <w:textAlignment w:val="baseline"/>
        <w:rPr>
          <w:rFonts w:eastAsia="Times New Roman" w:cstheme="minorHAnsi"/>
          <w:szCs w:val="24"/>
          <w:u w:val="single"/>
        </w:rPr>
      </w:pPr>
      <w:r w:rsidRPr="00493065">
        <w:rPr>
          <w:rFonts w:eastAsia="Times New Roman" w:cstheme="minorHAnsi"/>
          <w:szCs w:val="24"/>
        </w:rPr>
        <w:t xml:space="preserve">Resolution Writing and General Advice (Part III in </w:t>
      </w:r>
      <w:hyperlink r:id="rId15" w:history="1">
        <w:r w:rsidRPr="005E6652">
          <w:rPr>
            <w:rStyle w:val="Hyperlink"/>
            <w:rFonts w:eastAsia="Times New Roman" w:cstheme="minorHAnsi"/>
            <w:i/>
            <w:iCs/>
            <w:szCs w:val="24"/>
          </w:rPr>
          <w:t>Resolutions Handbook</w:t>
        </w:r>
      </w:hyperlink>
      <w:r w:rsidRPr="00493065">
        <w:rPr>
          <w:rFonts w:eastAsia="Times New Roman" w:cstheme="minorHAnsi"/>
          <w:szCs w:val="24"/>
        </w:rPr>
        <w:t>)</w:t>
      </w:r>
    </w:p>
    <w:p w14:paraId="0C906D80" w14:textId="77777777" w:rsidR="007F62C1" w:rsidRPr="005C745B" w:rsidRDefault="007F62C1" w:rsidP="007F62C1">
      <w:pPr>
        <w:spacing w:after="0"/>
        <w:ind w:right="-14"/>
        <w:textAlignment w:val="baseline"/>
        <w:rPr>
          <w:rFonts w:eastAsia="Times New Roman" w:cstheme="minorHAnsi"/>
          <w:szCs w:val="24"/>
        </w:rPr>
      </w:pPr>
    </w:p>
    <w:p w14:paraId="1BC584DE" w14:textId="77777777" w:rsidR="007F62C1" w:rsidRPr="00A2760D" w:rsidRDefault="007F62C1" w:rsidP="007F62C1">
      <w:pPr>
        <w:rPr>
          <w:rFonts w:eastAsia="Times New Roman" w:cstheme="minorHAnsi"/>
          <w:szCs w:val="24"/>
        </w:rPr>
      </w:pPr>
      <w:r w:rsidRPr="00A2760D">
        <w:rPr>
          <w:rFonts w:eastAsia="Times New Roman" w:cstheme="minorHAnsi"/>
          <w:szCs w:val="24"/>
        </w:rPr>
        <w:t xml:space="preserve">New delegates are strongly encouraged to </w:t>
      </w:r>
      <w:r>
        <w:rPr>
          <w:rFonts w:eastAsia="Times New Roman" w:cstheme="minorHAnsi"/>
          <w:szCs w:val="24"/>
        </w:rPr>
        <w:t>watch the New Attendee Information pre-plenary webinar.</w:t>
      </w:r>
    </w:p>
    <w:p w14:paraId="0387096D" w14:textId="77777777" w:rsidR="007F62C1" w:rsidRPr="007F62C1" w:rsidRDefault="007F62C1" w:rsidP="007F62C1">
      <w:pPr>
        <w:rPr>
          <w:rFonts w:eastAsia="Times New Roman" w:cstheme="minorHAnsi"/>
          <w:color w:val="FF0000"/>
          <w:szCs w:val="24"/>
          <w:lang w:val="es-ES"/>
        </w:rPr>
      </w:pPr>
      <w:r w:rsidRPr="007F62C1">
        <w:rPr>
          <w:rFonts w:eastAsia="Times New Roman" w:cstheme="minorHAnsi"/>
          <w:szCs w:val="24"/>
          <w:lang w:val="es-ES"/>
        </w:rPr>
        <w:t xml:space="preserve">Explore California legal </w:t>
      </w:r>
      <w:proofErr w:type="spellStart"/>
      <w:r w:rsidRPr="007F62C1">
        <w:rPr>
          <w:rFonts w:eastAsia="Times New Roman" w:cstheme="minorHAnsi"/>
          <w:szCs w:val="24"/>
          <w:lang w:val="es-ES"/>
        </w:rPr>
        <w:t>codes</w:t>
      </w:r>
      <w:proofErr w:type="spellEnd"/>
      <w:r w:rsidRPr="007F62C1">
        <w:rPr>
          <w:rFonts w:eastAsia="Times New Roman" w:cstheme="minorHAnsi"/>
          <w:szCs w:val="24"/>
          <w:lang w:val="es-ES"/>
        </w:rPr>
        <w:t xml:space="preserve"> </w:t>
      </w:r>
      <w:proofErr w:type="spellStart"/>
      <w:r w:rsidRPr="007F62C1">
        <w:rPr>
          <w:rFonts w:eastAsia="Times New Roman" w:cstheme="minorHAnsi"/>
          <w:szCs w:val="24"/>
          <w:lang w:val="es-ES"/>
        </w:rPr>
        <w:t>via</w:t>
      </w:r>
      <w:proofErr w:type="spellEnd"/>
      <w:r w:rsidRPr="007F62C1">
        <w:rPr>
          <w:rFonts w:eastAsia="Times New Roman" w:cstheme="minorHAnsi"/>
          <w:szCs w:val="24"/>
          <w:lang w:val="es-ES"/>
        </w:rPr>
        <w:t xml:space="preserve"> </w:t>
      </w:r>
      <w:hyperlink r:id="rId16" w:history="1">
        <w:r w:rsidRPr="007F62C1">
          <w:rPr>
            <w:rStyle w:val="Hyperlink"/>
            <w:rFonts w:eastAsia="Times New Roman" w:cstheme="minorHAnsi"/>
            <w:szCs w:val="24"/>
            <w:lang w:val="es-ES"/>
          </w:rPr>
          <w:t>https://leginfo.legislature.ca.gov/faces/home.xhtml</w:t>
        </w:r>
      </w:hyperlink>
    </w:p>
    <w:p w14:paraId="6E8146BA" w14:textId="77777777" w:rsidR="007F62C1" w:rsidRDefault="007F62C1" w:rsidP="007F62C1">
      <w:pPr>
        <w:rPr>
          <w:rFonts w:eastAsia="Times New Roman" w:cstheme="minorHAnsi"/>
          <w:color w:val="FF0000"/>
          <w:szCs w:val="24"/>
        </w:rPr>
      </w:pPr>
      <w:r>
        <w:rPr>
          <w:rFonts w:eastAsia="Times New Roman" w:cstheme="minorHAnsi"/>
          <w:szCs w:val="24"/>
        </w:rPr>
        <w:t xml:space="preserve">Explore California Code of Regulations, including title 5, via </w:t>
      </w:r>
      <w:hyperlink r:id="rId17" w:history="1">
        <w:r w:rsidRPr="00CC7E26">
          <w:rPr>
            <w:rStyle w:val="Hyperlink"/>
            <w:rFonts w:eastAsia="Times New Roman" w:cstheme="minorHAnsi"/>
            <w:szCs w:val="24"/>
          </w:rPr>
          <w:t>https://govt.westlaw.com/calregs/Browse/Home/California/CaliforniaCodeofRegulations?transitionType=Default&amp;contextData=%28sc.Default%29</w:t>
        </w:r>
      </w:hyperlink>
    </w:p>
    <w:p w14:paraId="70834D3F" w14:textId="77777777" w:rsidR="007F62C1" w:rsidRDefault="007F62C1" w:rsidP="007F62C1">
      <w:pPr>
        <w:rPr>
          <w:rFonts w:eastAsia="Times New Roman" w:cstheme="minorHAnsi"/>
          <w:color w:val="FF0000"/>
          <w:szCs w:val="24"/>
        </w:rPr>
      </w:pPr>
    </w:p>
    <w:p w14:paraId="78375781" w14:textId="77777777" w:rsidR="007F62C1" w:rsidRPr="005C745B" w:rsidRDefault="007F62C1" w:rsidP="007F62C1">
      <w:pPr>
        <w:textAlignment w:val="baseline"/>
        <w:rPr>
          <w:rFonts w:eastAsia="Times New Roman" w:cstheme="minorHAnsi"/>
          <w:szCs w:val="24"/>
        </w:rPr>
      </w:pPr>
      <w:r w:rsidRPr="005C745B">
        <w:rPr>
          <w:rFonts w:eastAsia="Times New Roman" w:cstheme="minorHAnsi"/>
          <w:szCs w:val="24"/>
        </w:rPr>
        <w:t>The following legend has been used to identify consent calendar items, new resolutions, and new amendments:</w:t>
      </w:r>
    </w:p>
    <w:p w14:paraId="7E24E62C" w14:textId="77777777" w:rsidR="007F62C1" w:rsidRPr="005C745B" w:rsidRDefault="007F62C1" w:rsidP="007F62C1">
      <w:pPr>
        <w:pStyle w:val="ListParagraph"/>
        <w:widowControl w:val="0"/>
        <w:numPr>
          <w:ilvl w:val="0"/>
          <w:numId w:val="16"/>
        </w:numPr>
        <w:autoSpaceDE w:val="0"/>
        <w:autoSpaceDN w:val="0"/>
        <w:spacing w:line="240" w:lineRule="auto"/>
        <w:ind w:right="1164"/>
        <w:rPr>
          <w:rFonts w:eastAsia="Times New Roman" w:cstheme="minorHAnsi"/>
          <w:szCs w:val="24"/>
        </w:rPr>
      </w:pPr>
      <w:r w:rsidRPr="005C745B">
        <w:rPr>
          <w:rFonts w:eastAsia="Times New Roman" w:cstheme="minorHAnsi"/>
          <w:szCs w:val="24"/>
        </w:rPr>
        <w:t>Consent Calendar resolutions and amendments are marked with *</w:t>
      </w:r>
    </w:p>
    <w:p w14:paraId="689F1EFE" w14:textId="77777777" w:rsidR="007F62C1" w:rsidRPr="005C745B" w:rsidRDefault="007F62C1" w:rsidP="007F62C1">
      <w:pPr>
        <w:pStyle w:val="ListParagraph"/>
        <w:widowControl w:val="0"/>
        <w:numPr>
          <w:ilvl w:val="0"/>
          <w:numId w:val="16"/>
        </w:numPr>
        <w:autoSpaceDE w:val="0"/>
        <w:autoSpaceDN w:val="0"/>
        <w:spacing w:line="240" w:lineRule="auto"/>
        <w:rPr>
          <w:rFonts w:eastAsia="Times New Roman" w:cstheme="minorHAnsi"/>
          <w:szCs w:val="24"/>
        </w:rPr>
      </w:pPr>
      <w:r w:rsidRPr="005C745B">
        <w:rPr>
          <w:rFonts w:eastAsia="Times New Roman" w:cstheme="minorHAnsi"/>
          <w:szCs w:val="24"/>
        </w:rPr>
        <w:t>Resolutions</w:t>
      </w:r>
      <w:r w:rsidRPr="005C745B">
        <w:rPr>
          <w:rFonts w:eastAsia="Times New Roman" w:cstheme="minorHAnsi"/>
          <w:spacing w:val="-2"/>
          <w:szCs w:val="24"/>
        </w:rPr>
        <w:t xml:space="preserve"> </w:t>
      </w:r>
      <w:r w:rsidRPr="005C745B">
        <w:rPr>
          <w:rFonts w:eastAsia="Times New Roman" w:cstheme="minorHAnsi"/>
          <w:szCs w:val="24"/>
        </w:rPr>
        <w:t>and</w:t>
      </w:r>
      <w:r w:rsidRPr="005C745B">
        <w:rPr>
          <w:rFonts w:eastAsia="Times New Roman" w:cstheme="minorHAnsi"/>
          <w:spacing w:val="-2"/>
          <w:szCs w:val="24"/>
        </w:rPr>
        <w:t xml:space="preserve"> </w:t>
      </w:r>
      <w:r w:rsidRPr="005C745B">
        <w:rPr>
          <w:rFonts w:eastAsia="Times New Roman" w:cstheme="minorHAnsi"/>
          <w:szCs w:val="24"/>
        </w:rPr>
        <w:t>amendments</w:t>
      </w:r>
      <w:r w:rsidRPr="005C745B">
        <w:rPr>
          <w:rFonts w:eastAsia="Times New Roman" w:cstheme="minorHAnsi"/>
          <w:spacing w:val="-1"/>
          <w:szCs w:val="24"/>
        </w:rPr>
        <w:t xml:space="preserve"> </w:t>
      </w:r>
      <w:r w:rsidRPr="005C745B">
        <w:rPr>
          <w:rFonts w:eastAsia="Times New Roman" w:cstheme="minorHAnsi"/>
          <w:szCs w:val="24"/>
        </w:rPr>
        <w:t>submitted</w:t>
      </w:r>
      <w:r w:rsidRPr="005C745B">
        <w:rPr>
          <w:rFonts w:eastAsia="Times New Roman" w:cstheme="minorHAnsi"/>
          <w:spacing w:val="-2"/>
          <w:szCs w:val="24"/>
        </w:rPr>
        <w:t xml:space="preserve"> </w:t>
      </w:r>
      <w:r w:rsidRPr="005C745B">
        <w:rPr>
          <w:rFonts w:eastAsia="Times New Roman" w:cstheme="minorHAnsi"/>
          <w:szCs w:val="24"/>
        </w:rPr>
        <w:t>at</w:t>
      </w:r>
      <w:r w:rsidRPr="005C745B">
        <w:rPr>
          <w:rFonts w:eastAsia="Times New Roman" w:cstheme="minorHAnsi"/>
          <w:spacing w:val="-1"/>
          <w:szCs w:val="24"/>
        </w:rPr>
        <w:t xml:space="preserve"> </w:t>
      </w:r>
      <w:r>
        <w:rPr>
          <w:rFonts w:eastAsia="Times New Roman" w:cstheme="minorHAnsi"/>
          <w:szCs w:val="24"/>
        </w:rPr>
        <w:t>a</w:t>
      </w:r>
      <w:r w:rsidRPr="005C745B">
        <w:rPr>
          <w:rFonts w:eastAsia="Times New Roman" w:cstheme="minorHAnsi"/>
          <w:szCs w:val="24"/>
        </w:rPr>
        <w:t>rea</w:t>
      </w:r>
      <w:r w:rsidRPr="005C745B">
        <w:rPr>
          <w:rFonts w:eastAsia="Times New Roman" w:cstheme="minorHAnsi"/>
          <w:spacing w:val="-2"/>
          <w:szCs w:val="24"/>
        </w:rPr>
        <w:t xml:space="preserve"> </w:t>
      </w:r>
      <w:r>
        <w:rPr>
          <w:rFonts w:eastAsia="Times New Roman" w:cstheme="minorHAnsi"/>
          <w:szCs w:val="24"/>
        </w:rPr>
        <w:t>m</w:t>
      </w:r>
      <w:r w:rsidRPr="005C745B">
        <w:rPr>
          <w:rFonts w:eastAsia="Times New Roman" w:cstheme="minorHAnsi"/>
          <w:szCs w:val="24"/>
        </w:rPr>
        <w:t>eetings</w:t>
      </w:r>
      <w:r w:rsidRPr="005C745B">
        <w:rPr>
          <w:rFonts w:eastAsia="Times New Roman" w:cstheme="minorHAnsi"/>
          <w:spacing w:val="-2"/>
          <w:szCs w:val="24"/>
        </w:rPr>
        <w:t xml:space="preserve"> </w:t>
      </w:r>
      <w:r w:rsidRPr="005C745B">
        <w:rPr>
          <w:rFonts w:eastAsia="Times New Roman" w:cstheme="minorHAnsi"/>
          <w:szCs w:val="24"/>
        </w:rPr>
        <w:t>are</w:t>
      </w:r>
      <w:r w:rsidRPr="005C745B">
        <w:rPr>
          <w:rFonts w:eastAsia="Times New Roman" w:cstheme="minorHAnsi"/>
          <w:spacing w:val="-2"/>
          <w:szCs w:val="24"/>
        </w:rPr>
        <w:t xml:space="preserve"> </w:t>
      </w:r>
      <w:r w:rsidRPr="005C745B">
        <w:rPr>
          <w:rFonts w:eastAsia="Times New Roman" w:cstheme="minorHAnsi"/>
          <w:szCs w:val="24"/>
        </w:rPr>
        <w:t>marked</w:t>
      </w:r>
      <w:r w:rsidRPr="005C745B">
        <w:rPr>
          <w:rFonts w:eastAsia="Times New Roman" w:cstheme="minorHAnsi"/>
          <w:spacing w:val="-2"/>
          <w:szCs w:val="24"/>
        </w:rPr>
        <w:t xml:space="preserve"> </w:t>
      </w:r>
      <w:r w:rsidRPr="005C745B">
        <w:rPr>
          <w:rFonts w:eastAsia="Times New Roman" w:cstheme="minorHAnsi"/>
          <w:szCs w:val="24"/>
        </w:rPr>
        <w:t>with +</w:t>
      </w:r>
    </w:p>
    <w:p w14:paraId="3B74DD9A" w14:textId="77777777" w:rsidR="007F62C1" w:rsidRDefault="007F62C1" w:rsidP="007F62C1">
      <w:pPr>
        <w:pStyle w:val="ListParagraph"/>
        <w:widowControl w:val="0"/>
        <w:numPr>
          <w:ilvl w:val="0"/>
          <w:numId w:val="16"/>
        </w:numPr>
        <w:autoSpaceDE w:val="0"/>
        <w:autoSpaceDN w:val="0"/>
        <w:spacing w:line="240" w:lineRule="auto"/>
        <w:ind w:right="-180"/>
        <w:rPr>
          <w:rFonts w:eastAsia="Times New Roman" w:cstheme="minorHAnsi"/>
          <w:szCs w:val="24"/>
        </w:rPr>
      </w:pPr>
      <w:r w:rsidRPr="005C745B">
        <w:rPr>
          <w:rFonts w:eastAsia="Times New Roman" w:cstheme="minorHAnsi"/>
          <w:szCs w:val="24"/>
        </w:rPr>
        <w:t>Resolutions</w:t>
      </w:r>
      <w:r w:rsidRPr="005C745B">
        <w:rPr>
          <w:rFonts w:eastAsia="Times New Roman" w:cstheme="minorHAnsi"/>
          <w:spacing w:val="-2"/>
          <w:szCs w:val="24"/>
        </w:rPr>
        <w:t xml:space="preserve"> </w:t>
      </w:r>
      <w:r w:rsidRPr="005C745B">
        <w:rPr>
          <w:rFonts w:eastAsia="Times New Roman" w:cstheme="minorHAnsi"/>
          <w:szCs w:val="24"/>
        </w:rPr>
        <w:t>and</w:t>
      </w:r>
      <w:r w:rsidRPr="005C745B">
        <w:rPr>
          <w:rFonts w:eastAsia="Times New Roman" w:cstheme="minorHAnsi"/>
          <w:spacing w:val="-1"/>
          <w:szCs w:val="24"/>
        </w:rPr>
        <w:t xml:space="preserve"> </w:t>
      </w:r>
      <w:r w:rsidRPr="005C745B">
        <w:rPr>
          <w:rFonts w:eastAsia="Times New Roman" w:cstheme="minorHAnsi"/>
          <w:szCs w:val="24"/>
        </w:rPr>
        <w:t>amendments</w:t>
      </w:r>
      <w:r w:rsidRPr="005C745B">
        <w:rPr>
          <w:rFonts w:eastAsia="Times New Roman" w:cstheme="minorHAnsi"/>
          <w:spacing w:val="-1"/>
          <w:szCs w:val="24"/>
        </w:rPr>
        <w:t xml:space="preserve"> </w:t>
      </w:r>
      <w:r w:rsidRPr="005C745B">
        <w:rPr>
          <w:rFonts w:eastAsia="Times New Roman" w:cstheme="minorHAnsi"/>
          <w:szCs w:val="24"/>
        </w:rPr>
        <w:t>submitted</w:t>
      </w:r>
      <w:r w:rsidRPr="005C745B">
        <w:rPr>
          <w:rFonts w:eastAsia="Times New Roman" w:cstheme="minorHAnsi"/>
          <w:spacing w:val="-1"/>
          <w:szCs w:val="24"/>
        </w:rPr>
        <w:t xml:space="preserve"> </w:t>
      </w:r>
      <w:r>
        <w:rPr>
          <w:rFonts w:eastAsia="Times New Roman" w:cstheme="minorHAnsi"/>
          <w:spacing w:val="-1"/>
          <w:szCs w:val="24"/>
        </w:rPr>
        <w:t xml:space="preserve">through Thursday of </w:t>
      </w:r>
      <w:r w:rsidRPr="005C745B">
        <w:rPr>
          <w:rFonts w:eastAsia="Times New Roman" w:cstheme="minorHAnsi"/>
          <w:spacing w:val="-2"/>
          <w:szCs w:val="24"/>
        </w:rPr>
        <w:t xml:space="preserve">the </w:t>
      </w:r>
      <w:r w:rsidRPr="005C745B">
        <w:rPr>
          <w:rFonts w:eastAsia="Times New Roman" w:cstheme="minorHAnsi"/>
          <w:szCs w:val="24"/>
        </w:rPr>
        <w:t>plenary session</w:t>
      </w:r>
      <w:r w:rsidRPr="005C745B">
        <w:rPr>
          <w:rFonts w:eastAsia="Times New Roman" w:cstheme="minorHAnsi"/>
          <w:spacing w:val="-1"/>
          <w:szCs w:val="24"/>
        </w:rPr>
        <w:t xml:space="preserve"> </w:t>
      </w:r>
      <w:r w:rsidRPr="005C745B">
        <w:rPr>
          <w:rFonts w:eastAsia="Times New Roman" w:cstheme="minorHAnsi"/>
          <w:szCs w:val="24"/>
        </w:rPr>
        <w:t>are</w:t>
      </w:r>
      <w:r w:rsidRPr="005C745B">
        <w:rPr>
          <w:rFonts w:eastAsia="Times New Roman" w:cstheme="minorHAnsi"/>
          <w:spacing w:val="-3"/>
          <w:szCs w:val="24"/>
        </w:rPr>
        <w:t xml:space="preserve"> </w:t>
      </w:r>
      <w:r w:rsidRPr="005C745B">
        <w:rPr>
          <w:rFonts w:eastAsia="Times New Roman" w:cstheme="minorHAnsi"/>
          <w:szCs w:val="24"/>
        </w:rPr>
        <w:t>marked</w:t>
      </w:r>
      <w:r w:rsidRPr="005C745B">
        <w:rPr>
          <w:rFonts w:eastAsia="Times New Roman" w:cstheme="minorHAnsi"/>
          <w:spacing w:val="-1"/>
          <w:szCs w:val="24"/>
        </w:rPr>
        <w:t xml:space="preserve"> </w:t>
      </w:r>
      <w:r w:rsidRPr="005C745B">
        <w:rPr>
          <w:rFonts w:eastAsia="Times New Roman" w:cstheme="minorHAnsi"/>
          <w:szCs w:val="24"/>
        </w:rPr>
        <w:t>with</w:t>
      </w:r>
      <w:r w:rsidRPr="005C745B">
        <w:rPr>
          <w:rFonts w:eastAsia="Times New Roman" w:cstheme="minorHAnsi"/>
          <w:spacing w:val="-1"/>
          <w:szCs w:val="24"/>
        </w:rPr>
        <w:t xml:space="preserve"> </w:t>
      </w:r>
      <w:r w:rsidRPr="005C745B">
        <w:rPr>
          <w:rFonts w:eastAsia="Times New Roman" w:cstheme="minorHAnsi"/>
          <w:szCs w:val="24"/>
        </w:rPr>
        <w:t>#</w:t>
      </w:r>
    </w:p>
    <w:p w14:paraId="0D6622EF" w14:textId="77777777" w:rsidR="007F62C1" w:rsidRPr="005C745B" w:rsidRDefault="007F62C1" w:rsidP="007F62C1">
      <w:pPr>
        <w:pStyle w:val="ListParagraph"/>
        <w:widowControl w:val="0"/>
        <w:numPr>
          <w:ilvl w:val="0"/>
          <w:numId w:val="16"/>
        </w:numPr>
        <w:autoSpaceDE w:val="0"/>
        <w:autoSpaceDN w:val="0"/>
        <w:spacing w:line="240" w:lineRule="auto"/>
        <w:ind w:right="-180"/>
        <w:rPr>
          <w:rFonts w:eastAsia="Times New Roman" w:cstheme="minorHAnsi"/>
          <w:szCs w:val="24"/>
        </w:rPr>
      </w:pPr>
      <w:r>
        <w:rPr>
          <w:rFonts w:eastAsia="Times New Roman" w:cstheme="minorHAnsi"/>
          <w:szCs w:val="24"/>
        </w:rPr>
        <w:t>Amendments and urgent resolutions submitted on Fridy are marked with ^</w:t>
      </w:r>
    </w:p>
    <w:p w14:paraId="18CBB61C" w14:textId="77777777" w:rsidR="00452E49" w:rsidRDefault="00452E49" w:rsidP="00452E49">
      <w:pPr>
        <w:rPr>
          <w:rFonts w:eastAsia="Times New Roman" w:cstheme="minorHAnsi"/>
          <w:szCs w:val="24"/>
        </w:rPr>
      </w:pPr>
    </w:p>
    <w:p w14:paraId="3DB887BD" w14:textId="77777777" w:rsidR="007F62C1" w:rsidRDefault="007F62C1" w:rsidP="00452E49">
      <w:pPr>
        <w:rPr>
          <w:rFonts w:eastAsia="Times New Roman" w:cstheme="minorHAnsi"/>
          <w:szCs w:val="24"/>
        </w:rPr>
      </w:pPr>
    </w:p>
    <w:p w14:paraId="7F9481E5" w14:textId="77777777" w:rsidR="007F62C1" w:rsidRDefault="007F62C1" w:rsidP="00452E49">
      <w:pPr>
        <w:rPr>
          <w:rFonts w:eastAsia="Times New Roman" w:cstheme="minorHAnsi"/>
          <w:szCs w:val="24"/>
        </w:rPr>
      </w:pPr>
    </w:p>
    <w:p w14:paraId="65E9D48B" w14:textId="77777777" w:rsidR="007F62C1" w:rsidRDefault="007F62C1" w:rsidP="00452E49">
      <w:pPr>
        <w:rPr>
          <w:rFonts w:eastAsia="Times New Roman" w:cstheme="minorHAnsi"/>
          <w:szCs w:val="24"/>
        </w:rPr>
      </w:pPr>
    </w:p>
    <w:p w14:paraId="18F80007" w14:textId="77777777" w:rsidR="007F62C1" w:rsidRDefault="007F62C1" w:rsidP="00452E49">
      <w:pPr>
        <w:rPr>
          <w:rFonts w:eastAsia="Times New Roman" w:cstheme="minorHAnsi"/>
          <w:szCs w:val="24"/>
        </w:rPr>
      </w:pPr>
    </w:p>
    <w:p w14:paraId="598753BE" w14:textId="77777777" w:rsidR="007F62C1" w:rsidRDefault="007F62C1" w:rsidP="00452E49">
      <w:pPr>
        <w:rPr>
          <w:rFonts w:eastAsia="Times New Roman" w:cstheme="minorHAnsi"/>
          <w:szCs w:val="24"/>
        </w:rPr>
      </w:pPr>
    </w:p>
    <w:p w14:paraId="376B099F" w14:textId="77777777" w:rsidR="007F62C1" w:rsidRDefault="007F62C1" w:rsidP="00452E49">
      <w:pPr>
        <w:rPr>
          <w:rFonts w:eastAsia="Times New Roman" w:cstheme="minorHAnsi"/>
          <w:szCs w:val="24"/>
        </w:rPr>
      </w:pPr>
    </w:p>
    <w:p w14:paraId="30C50E64" w14:textId="77777777" w:rsidR="007F62C1" w:rsidRDefault="007F62C1" w:rsidP="00452E49">
      <w:pPr>
        <w:rPr>
          <w:rFonts w:eastAsia="Times New Roman" w:cstheme="minorHAnsi"/>
          <w:szCs w:val="24"/>
        </w:rPr>
      </w:pPr>
    </w:p>
    <w:p w14:paraId="282B55DF" w14:textId="77777777" w:rsidR="007F62C1" w:rsidRDefault="007F62C1" w:rsidP="00452E49">
      <w:pPr>
        <w:rPr>
          <w:rFonts w:eastAsia="Times New Roman" w:cstheme="minorHAnsi"/>
          <w:szCs w:val="24"/>
        </w:rPr>
      </w:pPr>
    </w:p>
    <w:p w14:paraId="458A75C5" w14:textId="77777777" w:rsidR="007F62C1" w:rsidRDefault="007F62C1" w:rsidP="00452E49">
      <w:pPr>
        <w:rPr>
          <w:rFonts w:eastAsia="Times New Roman" w:cstheme="minorHAnsi"/>
          <w:szCs w:val="24"/>
        </w:rPr>
      </w:pPr>
    </w:p>
    <w:p w14:paraId="5373E268" w14:textId="77777777" w:rsidR="007F62C1" w:rsidRDefault="007F62C1" w:rsidP="00452E49">
      <w:pPr>
        <w:rPr>
          <w:rFonts w:eastAsia="Times New Roman" w:cstheme="minorHAnsi"/>
          <w:szCs w:val="24"/>
        </w:rPr>
      </w:pPr>
    </w:p>
    <w:p w14:paraId="4F3A07E4" w14:textId="77777777" w:rsidR="00AE1B9C" w:rsidRDefault="001F3636" w:rsidP="001F3636">
      <w:pPr>
        <w:pStyle w:val="Heading2"/>
      </w:pPr>
      <w:bookmarkStart w:id="4" w:name="_Toc179530179"/>
      <w:r w:rsidRPr="00ED3ABD">
        <w:lastRenderedPageBreak/>
        <w:t>Consent Calendar</w:t>
      </w:r>
      <w:bookmarkEnd w:id="4"/>
    </w:p>
    <w:p w14:paraId="6110E86A" w14:textId="77777777" w:rsidR="00E52237" w:rsidRPr="00E52237" w:rsidRDefault="00E52237" w:rsidP="00E52237"/>
    <w:p w14:paraId="004D8B1A" w14:textId="77777777" w:rsidR="00AE1B9C" w:rsidRPr="005C745B" w:rsidRDefault="00AE1B9C" w:rsidP="00AE1B9C">
      <w:r w:rsidRPr="005C745B">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39DE0CAF" w14:textId="77777777" w:rsidR="00AE1B9C" w:rsidRPr="005C745B" w:rsidRDefault="00AE1B9C" w:rsidP="00AE1B9C">
      <w:r w:rsidRPr="005C745B">
        <w:t>To remove a resolution from the Consent Calendar, please see the Consent Calendar section of the Resolutions Procedures for the plenary session.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p>
    <w:p w14:paraId="16995DCF" w14:textId="4B5DB712" w:rsidR="00AE1B9C" w:rsidRDefault="00AE1B9C" w:rsidP="00AE1B9C">
      <w:pPr>
        <w:tabs>
          <w:tab w:val="left" w:pos="1620"/>
        </w:tabs>
        <w:ind w:left="1620" w:hanging="900"/>
      </w:pPr>
      <w:r w:rsidRPr="00460754">
        <w:t>*</w:t>
      </w:r>
      <w:r w:rsidR="00CA3B4A">
        <w:t>10</w:t>
      </w:r>
      <w:r w:rsidR="00D335AC">
        <w:t>1</w:t>
      </w:r>
      <w:r w:rsidR="00CA3B4A">
        <w:t>.01</w:t>
      </w:r>
      <w:r>
        <w:tab/>
      </w:r>
      <w:r w:rsidRPr="00460754">
        <w:t>F2</w:t>
      </w:r>
      <w:r w:rsidR="00CA3B4A">
        <w:t>4</w:t>
      </w:r>
      <w:r w:rsidRPr="00460754">
        <w:t xml:space="preserve"> </w:t>
      </w:r>
      <w:r w:rsidR="00D335AC">
        <w:t xml:space="preserve">Adopt Using Outcomes for the Course Outline of Record in Title 5 </w:t>
      </w:r>
    </w:p>
    <w:p w14:paraId="14B093F6" w14:textId="56890B4E" w:rsidR="00AE1B9C" w:rsidRDefault="00AE1B9C" w:rsidP="00AE1B9C">
      <w:pPr>
        <w:tabs>
          <w:tab w:val="left" w:pos="1620"/>
        </w:tabs>
        <w:ind w:left="1620" w:hanging="900"/>
      </w:pPr>
      <w:r>
        <w:t>*</w:t>
      </w:r>
      <w:r w:rsidR="00851B7D">
        <w:t>1</w:t>
      </w:r>
      <w:r w:rsidR="00EE75CF">
        <w:t>05</w:t>
      </w:r>
      <w:r>
        <w:t>.01</w:t>
      </w:r>
      <w:r>
        <w:tab/>
        <w:t>F2</w:t>
      </w:r>
      <w:r w:rsidR="00851B7D">
        <w:t>4</w:t>
      </w:r>
      <w:r>
        <w:t xml:space="preserve"> </w:t>
      </w:r>
      <w:r w:rsidR="00EE75CF">
        <w:t>Investigate Academic Renewal Policies</w:t>
      </w:r>
    </w:p>
    <w:p w14:paraId="5528FBF7" w14:textId="490356D5" w:rsidR="00AE1B9C" w:rsidRDefault="00AE1B9C" w:rsidP="00AE1B9C">
      <w:pPr>
        <w:tabs>
          <w:tab w:val="left" w:pos="1620"/>
        </w:tabs>
        <w:ind w:left="1620" w:hanging="900"/>
      </w:pPr>
      <w:r>
        <w:t>*</w:t>
      </w:r>
      <w:r w:rsidR="00EE75CF">
        <w:t>111</w:t>
      </w:r>
      <w:r>
        <w:t>.01</w:t>
      </w:r>
      <w:r>
        <w:tab/>
        <w:t>F2</w:t>
      </w:r>
      <w:r w:rsidR="00115E4F">
        <w:t>4</w:t>
      </w:r>
      <w:r>
        <w:t xml:space="preserve"> </w:t>
      </w:r>
      <w:r w:rsidR="00A24100">
        <w:rPr>
          <w:noProof/>
        </w:rPr>
        <w:t>Update the ASCCC Paper, “The Role of Counseling Faculty and the Delivery of Counseling Services in the California Community Colleges”</w:t>
      </w:r>
    </w:p>
    <w:p w14:paraId="20570408" w14:textId="10C4C027" w:rsidR="00AE1B9C" w:rsidRDefault="00AE1B9C" w:rsidP="00AE1B9C">
      <w:pPr>
        <w:tabs>
          <w:tab w:val="left" w:pos="1620"/>
        </w:tabs>
        <w:ind w:left="1620" w:hanging="900"/>
      </w:pPr>
      <w:r>
        <w:t>*</w:t>
      </w:r>
      <w:r w:rsidR="003068AF">
        <w:t>111</w:t>
      </w:r>
      <w:r>
        <w:t>.02</w:t>
      </w:r>
      <w:r>
        <w:tab/>
        <w:t>F2</w:t>
      </w:r>
      <w:r w:rsidR="003068AF">
        <w:t>4</w:t>
      </w:r>
      <w:r>
        <w:t xml:space="preserve"> </w:t>
      </w:r>
      <w:r w:rsidR="00E3255C" w:rsidRPr="00EB5317">
        <w:rPr>
          <w:rFonts w:eastAsia="Arial"/>
          <w:noProof/>
        </w:rPr>
        <w:t>Academic Senate for California Community Colleges Rules Revision</w:t>
      </w:r>
    </w:p>
    <w:p w14:paraId="3E6B4572" w14:textId="48F8023F" w:rsidR="005C737A" w:rsidRDefault="00AE1B9C" w:rsidP="00452E49">
      <w:pPr>
        <w:tabs>
          <w:tab w:val="left" w:pos="1620"/>
        </w:tabs>
        <w:ind w:left="1620" w:hanging="900"/>
      </w:pPr>
      <w:r>
        <w:t>*</w:t>
      </w:r>
      <w:r w:rsidR="003068AF">
        <w:t>111</w:t>
      </w:r>
      <w:r>
        <w:t>.0</w:t>
      </w:r>
      <w:r w:rsidR="003068AF">
        <w:t>3</w:t>
      </w:r>
      <w:r>
        <w:tab/>
        <w:t>F2</w:t>
      </w:r>
      <w:r w:rsidR="003068AF">
        <w:t>4</w:t>
      </w:r>
      <w:r>
        <w:t xml:space="preserve"> </w:t>
      </w:r>
      <w:r w:rsidR="00E3255C" w:rsidRPr="00EB5317">
        <w:rPr>
          <w:rFonts w:eastAsia="Arial"/>
          <w:noProof/>
        </w:rPr>
        <w:t xml:space="preserve">Academic Senate for California Community Colleges </w:t>
      </w:r>
      <w:r w:rsidR="003068AF">
        <w:t>Bylaws Revision</w:t>
      </w:r>
    </w:p>
    <w:p w14:paraId="0581A17E" w14:textId="77777777" w:rsidR="00FB30DF" w:rsidRDefault="00FB30DF" w:rsidP="00452E49">
      <w:pPr>
        <w:tabs>
          <w:tab w:val="left" w:pos="1620"/>
        </w:tabs>
        <w:ind w:left="1620" w:hanging="900"/>
      </w:pPr>
    </w:p>
    <w:p w14:paraId="5FC3DA64" w14:textId="77777777" w:rsidR="00FB30DF" w:rsidRDefault="00FB30DF" w:rsidP="00452E49">
      <w:pPr>
        <w:tabs>
          <w:tab w:val="left" w:pos="1620"/>
        </w:tabs>
        <w:ind w:left="1620" w:hanging="900"/>
      </w:pPr>
    </w:p>
    <w:p w14:paraId="6223BFBB" w14:textId="77777777" w:rsidR="00FB30DF" w:rsidRDefault="00FB30DF" w:rsidP="00452E49">
      <w:pPr>
        <w:tabs>
          <w:tab w:val="left" w:pos="1620"/>
        </w:tabs>
        <w:ind w:left="1620" w:hanging="900"/>
      </w:pPr>
    </w:p>
    <w:p w14:paraId="7B6F9CD6" w14:textId="77777777" w:rsidR="00FB30DF" w:rsidRDefault="00FB30DF" w:rsidP="00452E49">
      <w:pPr>
        <w:tabs>
          <w:tab w:val="left" w:pos="1620"/>
        </w:tabs>
        <w:ind w:left="1620" w:hanging="900"/>
      </w:pPr>
    </w:p>
    <w:p w14:paraId="30728ADA" w14:textId="77777777" w:rsidR="00FB30DF" w:rsidRDefault="00FB30DF" w:rsidP="00452E49">
      <w:pPr>
        <w:tabs>
          <w:tab w:val="left" w:pos="1620"/>
        </w:tabs>
        <w:ind w:left="1620" w:hanging="900"/>
      </w:pPr>
    </w:p>
    <w:p w14:paraId="5114FC27" w14:textId="77777777" w:rsidR="00FB30DF" w:rsidRDefault="00FB30DF" w:rsidP="00452E49">
      <w:pPr>
        <w:tabs>
          <w:tab w:val="left" w:pos="1620"/>
        </w:tabs>
        <w:ind w:left="1620" w:hanging="900"/>
      </w:pPr>
    </w:p>
    <w:p w14:paraId="3231D961" w14:textId="77777777" w:rsidR="00FB30DF" w:rsidRDefault="00FB30DF" w:rsidP="00452E49">
      <w:pPr>
        <w:tabs>
          <w:tab w:val="left" w:pos="1620"/>
        </w:tabs>
        <w:ind w:left="1620" w:hanging="900"/>
      </w:pPr>
    </w:p>
    <w:p w14:paraId="08A20E81" w14:textId="77777777" w:rsidR="00FB30DF" w:rsidRDefault="00FB30DF" w:rsidP="00452E49">
      <w:pPr>
        <w:tabs>
          <w:tab w:val="left" w:pos="1620"/>
        </w:tabs>
        <w:ind w:left="1620" w:hanging="900"/>
      </w:pPr>
    </w:p>
    <w:p w14:paraId="72ADF6EB" w14:textId="77777777" w:rsidR="00FB30DF" w:rsidRDefault="00FB30DF" w:rsidP="00452E49">
      <w:pPr>
        <w:tabs>
          <w:tab w:val="left" w:pos="1620"/>
        </w:tabs>
        <w:ind w:left="1620" w:hanging="900"/>
      </w:pPr>
    </w:p>
    <w:p w14:paraId="59AAC64B" w14:textId="77777777" w:rsidR="00FB30DF" w:rsidRDefault="00FB30DF" w:rsidP="00452E49">
      <w:pPr>
        <w:tabs>
          <w:tab w:val="left" w:pos="1620"/>
        </w:tabs>
        <w:ind w:left="1620" w:hanging="900"/>
      </w:pPr>
    </w:p>
    <w:p w14:paraId="3497D797" w14:textId="77777777" w:rsidR="00FB30DF" w:rsidRDefault="00FB30DF" w:rsidP="00452E49">
      <w:pPr>
        <w:tabs>
          <w:tab w:val="left" w:pos="1620"/>
        </w:tabs>
        <w:ind w:left="1620" w:hanging="900"/>
      </w:pPr>
    </w:p>
    <w:p w14:paraId="55F4869E" w14:textId="77777777" w:rsidR="00FB30DF" w:rsidRDefault="00FB30DF" w:rsidP="00452E49">
      <w:pPr>
        <w:tabs>
          <w:tab w:val="left" w:pos="1620"/>
        </w:tabs>
        <w:ind w:left="1620" w:hanging="900"/>
      </w:pPr>
    </w:p>
    <w:p w14:paraId="66496D9D" w14:textId="77777777" w:rsidR="00FB30DF" w:rsidRDefault="00FB30DF" w:rsidP="00452E49">
      <w:pPr>
        <w:tabs>
          <w:tab w:val="left" w:pos="1620"/>
        </w:tabs>
        <w:ind w:left="1620" w:hanging="900"/>
      </w:pPr>
    </w:p>
    <w:p w14:paraId="4AD56F17" w14:textId="77777777" w:rsidR="00FB30DF" w:rsidRDefault="00FB30DF" w:rsidP="00452E49">
      <w:pPr>
        <w:tabs>
          <w:tab w:val="left" w:pos="1620"/>
        </w:tabs>
        <w:ind w:left="1620" w:hanging="900"/>
      </w:pPr>
    </w:p>
    <w:p w14:paraId="79200157" w14:textId="77777777" w:rsidR="00FB30DF" w:rsidRDefault="00FB30DF" w:rsidP="00452E49">
      <w:pPr>
        <w:tabs>
          <w:tab w:val="left" w:pos="1620"/>
        </w:tabs>
        <w:ind w:left="1620" w:hanging="900"/>
      </w:pPr>
    </w:p>
    <w:p w14:paraId="7F5468E5" w14:textId="77777777" w:rsidR="00FB30DF" w:rsidRDefault="00FB30DF" w:rsidP="00452E49">
      <w:pPr>
        <w:tabs>
          <w:tab w:val="left" w:pos="1620"/>
        </w:tabs>
        <w:ind w:left="1620" w:hanging="900"/>
      </w:pPr>
    </w:p>
    <w:p w14:paraId="150EF0D8" w14:textId="77777777" w:rsidR="006960EC" w:rsidRDefault="006960EC" w:rsidP="00452E49">
      <w:pPr>
        <w:tabs>
          <w:tab w:val="left" w:pos="1620"/>
        </w:tabs>
        <w:ind w:left="1620" w:hanging="900"/>
      </w:pPr>
    </w:p>
    <w:p w14:paraId="4C0646D1" w14:textId="77777777" w:rsidR="006960EC" w:rsidRDefault="006960EC" w:rsidP="00452E49">
      <w:pPr>
        <w:tabs>
          <w:tab w:val="left" w:pos="1620"/>
        </w:tabs>
        <w:ind w:left="1620" w:hanging="900"/>
      </w:pPr>
    </w:p>
    <w:p w14:paraId="663CA1F8" w14:textId="77777777" w:rsidR="00AA3683" w:rsidRDefault="00AA3683" w:rsidP="00452E49">
      <w:pPr>
        <w:tabs>
          <w:tab w:val="left" w:pos="1620"/>
        </w:tabs>
        <w:ind w:left="1620" w:hanging="900"/>
      </w:pPr>
    </w:p>
    <w:p w14:paraId="11CEF0C8" w14:textId="77777777" w:rsidR="00AA3683" w:rsidRDefault="00AA3683" w:rsidP="00452E49">
      <w:pPr>
        <w:tabs>
          <w:tab w:val="left" w:pos="1620"/>
        </w:tabs>
        <w:ind w:left="1620" w:hanging="900"/>
      </w:pPr>
    </w:p>
    <w:p w14:paraId="4E7726DF" w14:textId="3DFCF64E" w:rsidR="00AA3683" w:rsidRDefault="00B513E8" w:rsidP="006960EC">
      <w:pPr>
        <w:pStyle w:val="Heading2"/>
      </w:pPr>
      <w:bookmarkStart w:id="5" w:name="_Toc161305883"/>
      <w:bookmarkStart w:id="6" w:name="_Toc179530180"/>
      <w:r>
        <w:lastRenderedPageBreak/>
        <w:t>RESOLUTION</w:t>
      </w:r>
      <w:r w:rsidR="00362F3D">
        <w:t xml:space="preserve">S </w:t>
      </w:r>
      <w:r w:rsidR="00AA3683">
        <w:t>CATEGORIES</w:t>
      </w:r>
      <w:bookmarkEnd w:id="5"/>
      <w:bookmarkEnd w:id="6"/>
    </w:p>
    <w:p w14:paraId="01D57DF3" w14:textId="77777777" w:rsidR="00E52237" w:rsidRPr="00E52237" w:rsidRDefault="00E52237" w:rsidP="00E52237"/>
    <w:p w14:paraId="4C1B2642" w14:textId="523DE152" w:rsidR="00AA3683" w:rsidRDefault="00AA3683" w:rsidP="00AA3683">
      <w:r>
        <w:t xml:space="preserve">New resolutions categories that more closely align with the purview of the ASCCC </w:t>
      </w:r>
      <w:r w:rsidR="00CF69F2">
        <w:t>were</w:t>
      </w:r>
      <w:r>
        <w:t xml:space="preserve"> piloted for the 2024 Spring Plenary Session</w:t>
      </w:r>
      <w:r w:rsidR="00CF69F2">
        <w:t xml:space="preserve"> and approved</w:t>
      </w:r>
      <w:r w:rsidR="00EB54FF">
        <w:t xml:space="preserve"> for post-pilot use </w:t>
      </w:r>
      <w:r w:rsidR="00362F3D">
        <w:t>by the</w:t>
      </w:r>
      <w:r w:rsidR="00EB54FF">
        <w:t xml:space="preserve"> ASCCC Executive Committee</w:t>
      </w:r>
      <w:r w:rsidR="00362F3D">
        <w:t xml:space="preserve"> at its</w:t>
      </w:r>
      <w:r w:rsidR="00EB54FF">
        <w:t xml:space="preserve"> May 2024</w:t>
      </w:r>
      <w:r w:rsidR="00B2364D">
        <w:t xml:space="preserve"> meeting</w:t>
      </w:r>
      <w:r>
        <w:t xml:space="preserve">.  Numbering of these new categories begin from 101 for the first category, 102 for the second category, and so forth to distinguish them from the old categories.  The </w:t>
      </w:r>
      <w:r w:rsidR="009D68AE">
        <w:t xml:space="preserve">approved </w:t>
      </w:r>
      <w:r>
        <w:t>new categorie</w:t>
      </w:r>
      <w:r w:rsidR="00EB54FF">
        <w:t>s</w:t>
      </w:r>
      <w:r>
        <w:t xml:space="preserve"> are:</w:t>
      </w:r>
    </w:p>
    <w:p w14:paraId="24823D79" w14:textId="77777777" w:rsidR="00EB54FF" w:rsidRDefault="00EB54FF" w:rsidP="00AA3683"/>
    <w:p w14:paraId="4897855F" w14:textId="77777777" w:rsidR="00AA3683" w:rsidRPr="007054E2" w:rsidRDefault="00AA3683" w:rsidP="00AA3683">
      <w:pPr>
        <w:numPr>
          <w:ilvl w:val="0"/>
          <w:numId w:val="25"/>
        </w:numPr>
        <w:spacing w:after="0" w:line="259" w:lineRule="auto"/>
      </w:pPr>
      <w:r w:rsidRPr="007054E2">
        <w:t xml:space="preserve">Curriculum </w:t>
      </w:r>
    </w:p>
    <w:p w14:paraId="77E46DB7" w14:textId="77777777" w:rsidR="00AA3683" w:rsidRPr="007054E2" w:rsidRDefault="00AA3683" w:rsidP="00AA3683">
      <w:pPr>
        <w:numPr>
          <w:ilvl w:val="0"/>
          <w:numId w:val="25"/>
        </w:numPr>
        <w:spacing w:after="0" w:line="259" w:lineRule="auto"/>
      </w:pPr>
      <w:r w:rsidRPr="007054E2">
        <w:t>Degree and Certificate Requirements</w:t>
      </w:r>
    </w:p>
    <w:p w14:paraId="11520E61" w14:textId="77777777" w:rsidR="00AA3683" w:rsidRPr="007054E2" w:rsidRDefault="00AA3683" w:rsidP="00AA3683">
      <w:pPr>
        <w:numPr>
          <w:ilvl w:val="0"/>
          <w:numId w:val="25"/>
        </w:numPr>
        <w:spacing w:after="0" w:line="259" w:lineRule="auto"/>
      </w:pPr>
      <w:r w:rsidRPr="007054E2">
        <w:t>Grading Policies</w:t>
      </w:r>
    </w:p>
    <w:p w14:paraId="13FE4D52" w14:textId="77777777" w:rsidR="00AA3683" w:rsidRPr="007054E2" w:rsidRDefault="00AA3683" w:rsidP="00AA3683">
      <w:pPr>
        <w:numPr>
          <w:ilvl w:val="0"/>
          <w:numId w:val="25"/>
        </w:numPr>
        <w:spacing w:after="0" w:line="259" w:lineRule="auto"/>
      </w:pPr>
      <w:r w:rsidRPr="007054E2">
        <w:t>Educational Program Development</w:t>
      </w:r>
    </w:p>
    <w:p w14:paraId="1DE91177" w14:textId="77777777" w:rsidR="00AA3683" w:rsidRPr="007054E2" w:rsidRDefault="00AA3683" w:rsidP="00AA3683">
      <w:pPr>
        <w:numPr>
          <w:ilvl w:val="0"/>
          <w:numId w:val="25"/>
        </w:numPr>
        <w:spacing w:after="0" w:line="259" w:lineRule="auto"/>
      </w:pPr>
      <w:r w:rsidRPr="007054E2">
        <w:t>Student Preparation and Success</w:t>
      </w:r>
    </w:p>
    <w:p w14:paraId="114FD16F" w14:textId="77777777" w:rsidR="00AA3683" w:rsidRPr="007054E2" w:rsidRDefault="00AA3683" w:rsidP="00AA3683">
      <w:pPr>
        <w:numPr>
          <w:ilvl w:val="0"/>
          <w:numId w:val="25"/>
        </w:numPr>
        <w:spacing w:after="0" w:line="259" w:lineRule="auto"/>
      </w:pPr>
      <w:r w:rsidRPr="007054E2">
        <w:t>Governance Structures</w:t>
      </w:r>
    </w:p>
    <w:p w14:paraId="3E224293" w14:textId="77777777" w:rsidR="00AA3683" w:rsidRPr="007054E2" w:rsidRDefault="00AA3683" w:rsidP="00AA3683">
      <w:pPr>
        <w:numPr>
          <w:ilvl w:val="0"/>
          <w:numId w:val="25"/>
        </w:numPr>
        <w:spacing w:after="0" w:line="259" w:lineRule="auto"/>
      </w:pPr>
      <w:r w:rsidRPr="007054E2">
        <w:t>Accreditation</w:t>
      </w:r>
    </w:p>
    <w:p w14:paraId="4360E488" w14:textId="77777777" w:rsidR="00AA3683" w:rsidRPr="007054E2" w:rsidRDefault="00AA3683" w:rsidP="00AA3683">
      <w:pPr>
        <w:numPr>
          <w:ilvl w:val="0"/>
          <w:numId w:val="25"/>
        </w:numPr>
        <w:spacing w:after="0" w:line="259" w:lineRule="auto"/>
      </w:pPr>
      <w:r w:rsidRPr="007054E2">
        <w:t>Professional Development</w:t>
      </w:r>
    </w:p>
    <w:p w14:paraId="772C1B28" w14:textId="77777777" w:rsidR="00AA3683" w:rsidRPr="007054E2" w:rsidRDefault="00AA3683" w:rsidP="00AA3683">
      <w:pPr>
        <w:numPr>
          <w:ilvl w:val="0"/>
          <w:numId w:val="25"/>
        </w:numPr>
        <w:spacing w:after="0" w:line="259" w:lineRule="auto"/>
      </w:pPr>
      <w:r w:rsidRPr="007054E2">
        <w:t>Program Review</w:t>
      </w:r>
    </w:p>
    <w:p w14:paraId="721AC0FE" w14:textId="77777777" w:rsidR="00AA3683" w:rsidRPr="007054E2" w:rsidRDefault="00AA3683" w:rsidP="00AA3683">
      <w:pPr>
        <w:numPr>
          <w:ilvl w:val="0"/>
          <w:numId w:val="25"/>
        </w:numPr>
        <w:spacing w:after="0" w:line="259" w:lineRule="auto"/>
      </w:pPr>
      <w:r w:rsidRPr="007054E2">
        <w:t>Institutional Planning and Budget Development</w:t>
      </w:r>
    </w:p>
    <w:p w14:paraId="076ACD08" w14:textId="77777777" w:rsidR="00AA3683" w:rsidRPr="007054E2" w:rsidRDefault="00AA3683" w:rsidP="00AA3683">
      <w:pPr>
        <w:numPr>
          <w:ilvl w:val="0"/>
          <w:numId w:val="25"/>
        </w:numPr>
        <w:spacing w:after="0" w:line="259" w:lineRule="auto"/>
      </w:pPr>
      <w:r w:rsidRPr="007054E2">
        <w:t>Academic Senate for California Community Colleges</w:t>
      </w:r>
    </w:p>
    <w:p w14:paraId="27487005" w14:textId="77777777" w:rsidR="00AA3683" w:rsidRPr="007054E2" w:rsidRDefault="00AA3683" w:rsidP="00AA3683">
      <w:pPr>
        <w:numPr>
          <w:ilvl w:val="0"/>
          <w:numId w:val="25"/>
        </w:numPr>
        <w:spacing w:after="0" w:line="259" w:lineRule="auto"/>
      </w:pPr>
      <w:r w:rsidRPr="007054E2">
        <w:t>Hiring, Minimum Qualifications, Equivalency, and Evaluations</w:t>
      </w:r>
    </w:p>
    <w:p w14:paraId="20FE2791" w14:textId="77777777" w:rsidR="00AA3683" w:rsidRPr="007054E2" w:rsidRDefault="00AA3683" w:rsidP="00AA3683">
      <w:pPr>
        <w:numPr>
          <w:ilvl w:val="0"/>
          <w:numId w:val="25"/>
        </w:numPr>
        <w:spacing w:after="0" w:line="259" w:lineRule="auto"/>
      </w:pPr>
      <w:r w:rsidRPr="007054E2">
        <w:t>Legislation and Advocacy</w:t>
      </w:r>
    </w:p>
    <w:p w14:paraId="51409E8C" w14:textId="77777777" w:rsidR="00AA3683" w:rsidRPr="007054E2" w:rsidRDefault="00AA3683" w:rsidP="00AA3683">
      <w:pPr>
        <w:numPr>
          <w:ilvl w:val="0"/>
          <w:numId w:val="25"/>
        </w:numPr>
        <w:spacing w:after="0" w:line="259" w:lineRule="auto"/>
      </w:pPr>
      <w:r w:rsidRPr="007054E2">
        <w:t xml:space="preserve">Consultation with the Chancellor’s Office </w:t>
      </w:r>
    </w:p>
    <w:p w14:paraId="10D9AD82" w14:textId="77777777" w:rsidR="00FB30DF" w:rsidRDefault="00FB30DF" w:rsidP="00452E49">
      <w:pPr>
        <w:tabs>
          <w:tab w:val="left" w:pos="1620"/>
        </w:tabs>
        <w:ind w:left="1620" w:hanging="900"/>
      </w:pPr>
    </w:p>
    <w:p w14:paraId="60A9526C" w14:textId="77777777" w:rsidR="00EB54FF" w:rsidRDefault="00EB54FF" w:rsidP="00452E49">
      <w:pPr>
        <w:tabs>
          <w:tab w:val="left" w:pos="1620"/>
        </w:tabs>
        <w:ind w:left="1620" w:hanging="900"/>
      </w:pPr>
    </w:p>
    <w:p w14:paraId="5919C9D0" w14:textId="77777777" w:rsidR="00EB54FF" w:rsidRDefault="00EB54FF" w:rsidP="00452E49">
      <w:pPr>
        <w:tabs>
          <w:tab w:val="left" w:pos="1620"/>
        </w:tabs>
        <w:ind w:left="1620" w:hanging="900"/>
      </w:pPr>
    </w:p>
    <w:p w14:paraId="77221184" w14:textId="77777777" w:rsidR="00EB54FF" w:rsidRDefault="00EB54FF" w:rsidP="00452E49">
      <w:pPr>
        <w:tabs>
          <w:tab w:val="left" w:pos="1620"/>
        </w:tabs>
        <w:ind w:left="1620" w:hanging="900"/>
      </w:pPr>
    </w:p>
    <w:p w14:paraId="3C5E4AF2" w14:textId="77777777" w:rsidR="00EB54FF" w:rsidRDefault="00EB54FF" w:rsidP="00452E49">
      <w:pPr>
        <w:tabs>
          <w:tab w:val="left" w:pos="1620"/>
        </w:tabs>
        <w:ind w:left="1620" w:hanging="900"/>
      </w:pPr>
    </w:p>
    <w:p w14:paraId="5DEF3525" w14:textId="77777777" w:rsidR="00EB54FF" w:rsidRDefault="00EB54FF" w:rsidP="00452E49">
      <w:pPr>
        <w:tabs>
          <w:tab w:val="left" w:pos="1620"/>
        </w:tabs>
        <w:ind w:left="1620" w:hanging="900"/>
      </w:pPr>
    </w:p>
    <w:p w14:paraId="496720B2" w14:textId="77777777" w:rsidR="00EB54FF" w:rsidRDefault="00EB54FF" w:rsidP="00452E49">
      <w:pPr>
        <w:tabs>
          <w:tab w:val="left" w:pos="1620"/>
        </w:tabs>
        <w:ind w:left="1620" w:hanging="900"/>
      </w:pPr>
    </w:p>
    <w:p w14:paraId="4385B954" w14:textId="77777777" w:rsidR="00EB54FF" w:rsidRDefault="00EB54FF" w:rsidP="00452E49">
      <w:pPr>
        <w:tabs>
          <w:tab w:val="left" w:pos="1620"/>
        </w:tabs>
        <w:ind w:left="1620" w:hanging="900"/>
      </w:pPr>
    </w:p>
    <w:p w14:paraId="711EC298" w14:textId="77777777" w:rsidR="00EB54FF" w:rsidRDefault="00EB54FF" w:rsidP="00452E49">
      <w:pPr>
        <w:tabs>
          <w:tab w:val="left" w:pos="1620"/>
        </w:tabs>
        <w:ind w:left="1620" w:hanging="900"/>
      </w:pPr>
    </w:p>
    <w:p w14:paraId="7F0FEEC1" w14:textId="77777777" w:rsidR="00EB54FF" w:rsidRDefault="00EB54FF" w:rsidP="00452E49">
      <w:pPr>
        <w:tabs>
          <w:tab w:val="left" w:pos="1620"/>
        </w:tabs>
        <w:ind w:left="1620" w:hanging="900"/>
      </w:pPr>
    </w:p>
    <w:p w14:paraId="0A58FC25" w14:textId="77777777" w:rsidR="00EB54FF" w:rsidRDefault="00EB54FF" w:rsidP="00452E49">
      <w:pPr>
        <w:tabs>
          <w:tab w:val="left" w:pos="1620"/>
        </w:tabs>
        <w:ind w:left="1620" w:hanging="900"/>
      </w:pPr>
    </w:p>
    <w:p w14:paraId="01BBB831" w14:textId="77777777" w:rsidR="00EB54FF" w:rsidRDefault="00EB54FF" w:rsidP="00452E49">
      <w:pPr>
        <w:tabs>
          <w:tab w:val="left" w:pos="1620"/>
        </w:tabs>
        <w:ind w:left="1620" w:hanging="900"/>
      </w:pPr>
    </w:p>
    <w:p w14:paraId="0C47E51C" w14:textId="77777777" w:rsidR="00EB54FF" w:rsidRDefault="00EB54FF" w:rsidP="00452E49">
      <w:pPr>
        <w:tabs>
          <w:tab w:val="left" w:pos="1620"/>
        </w:tabs>
        <w:ind w:left="1620" w:hanging="900"/>
      </w:pPr>
    </w:p>
    <w:p w14:paraId="166EF7A7" w14:textId="77777777" w:rsidR="006960EC" w:rsidRDefault="006960EC" w:rsidP="00452E49">
      <w:pPr>
        <w:tabs>
          <w:tab w:val="left" w:pos="1620"/>
        </w:tabs>
        <w:ind w:left="1620" w:hanging="900"/>
      </w:pPr>
    </w:p>
    <w:p w14:paraId="42AE5303" w14:textId="77777777" w:rsidR="00EB54FF" w:rsidRDefault="00EB54FF" w:rsidP="00452E49">
      <w:pPr>
        <w:tabs>
          <w:tab w:val="left" w:pos="1620"/>
        </w:tabs>
        <w:ind w:left="1620" w:hanging="900"/>
      </w:pPr>
    </w:p>
    <w:p w14:paraId="33E8ED2E" w14:textId="77777777" w:rsidR="00EB54FF" w:rsidRDefault="00EB54FF" w:rsidP="00452E49">
      <w:pPr>
        <w:tabs>
          <w:tab w:val="left" w:pos="1620"/>
        </w:tabs>
        <w:ind w:left="1620" w:hanging="900"/>
      </w:pPr>
    </w:p>
    <w:p w14:paraId="630C4159" w14:textId="77777777" w:rsidR="00F868BC" w:rsidRPr="00196A31" w:rsidRDefault="00F868BC" w:rsidP="00F868BC">
      <w:pPr>
        <w:pStyle w:val="Heading2"/>
      </w:pPr>
      <w:bookmarkStart w:id="7" w:name="_Toc179530181"/>
      <w:bookmarkStart w:id="8" w:name="_Toc149835086"/>
      <w:bookmarkStart w:id="9" w:name="_Toc130846926"/>
      <w:bookmarkStart w:id="10" w:name="_Toc133584376"/>
      <w:bookmarkStart w:id="11" w:name="_Toc149835082"/>
      <w:r>
        <w:lastRenderedPageBreak/>
        <w:t xml:space="preserve">101 </w:t>
      </w:r>
      <w:r w:rsidRPr="00196A31">
        <w:t>Curriculum</w:t>
      </w:r>
      <w:bookmarkEnd w:id="7"/>
    </w:p>
    <w:p w14:paraId="6833EE10" w14:textId="12363377" w:rsidR="00F868BC" w:rsidRDefault="00F868BC" w:rsidP="00F868BC">
      <w:pPr>
        <w:pStyle w:val="Heading3"/>
      </w:pPr>
      <w:bookmarkStart w:id="12" w:name="_Toc179530182"/>
      <w:bookmarkStart w:id="13" w:name="_Toc149835087"/>
      <w:bookmarkEnd w:id="8"/>
      <w:r>
        <w:rPr>
          <w:rFonts w:eastAsia="Calibri"/>
          <w:lang w:val="en"/>
        </w:rPr>
        <w:t xml:space="preserve">*101.01 </w:t>
      </w:r>
      <w:r w:rsidR="003068AF">
        <w:rPr>
          <w:rFonts w:eastAsia="Calibri"/>
          <w:lang w:val="en"/>
        </w:rPr>
        <w:t xml:space="preserve">F24 </w:t>
      </w:r>
      <w:r w:rsidRPr="2C28EFC5">
        <w:rPr>
          <w:rFonts w:eastAsia="Calibri"/>
          <w:lang w:val="en"/>
        </w:rPr>
        <w:t>Adopt Using Outcomes for the Course Outline of Record in Title 5</w:t>
      </w:r>
      <w:bookmarkEnd w:id="12"/>
      <w:r w:rsidRPr="2C28EFC5">
        <w:rPr>
          <w:rFonts w:eastAsia="Calibri"/>
          <w:lang w:val="en"/>
        </w:rPr>
        <w:t xml:space="preserve"> </w:t>
      </w:r>
    </w:p>
    <w:p w14:paraId="2B40C9E2" w14:textId="77777777" w:rsidR="00F868BC" w:rsidRPr="009C7C04" w:rsidRDefault="00F868BC" w:rsidP="00F868BC">
      <w:pPr>
        <w:spacing w:line="257" w:lineRule="auto"/>
        <w:rPr>
          <w:rFonts w:cstheme="minorHAnsi"/>
        </w:rPr>
      </w:pPr>
      <w:r w:rsidRPr="009C7C04">
        <w:rPr>
          <w:rFonts w:eastAsia="Calibri" w:cstheme="minorHAnsi"/>
        </w:rPr>
        <w:t>Whereas, Student learning objectives are building block skills required to demonstrate proficiency of the higher-level, broader student learning outcomes;</w:t>
      </w:r>
    </w:p>
    <w:p w14:paraId="6F8DB66B" w14:textId="1D610656" w:rsidR="00F868BC" w:rsidRPr="009C7C04" w:rsidRDefault="00F868BC" w:rsidP="00F868BC">
      <w:pPr>
        <w:spacing w:line="257" w:lineRule="auto"/>
        <w:rPr>
          <w:rFonts w:cstheme="minorHAnsi"/>
        </w:rPr>
      </w:pPr>
      <w:r w:rsidRPr="009C7C04">
        <w:rPr>
          <w:rFonts w:eastAsia="Calibri" w:cstheme="minorHAnsi"/>
        </w:rPr>
        <w:t>Whereas, California Code of Regulations Title 5 Section 55002(a)(3)</w:t>
      </w:r>
      <w:hyperlink r:id="rId18" w:history="1">
        <w:r w:rsidR="00A42FD4" w:rsidRPr="00DF1ECE">
          <w:rPr>
            <w:rStyle w:val="Hyperlink"/>
            <w:rFonts w:eastAsia="Calibri" w:cstheme="minorHAnsi"/>
            <w:sz w:val="20"/>
            <w:vertAlign w:val="superscript"/>
          </w:rPr>
          <w:footnoteReference w:id="1"/>
        </w:r>
      </w:hyperlink>
      <w:r w:rsidRPr="009C7C04">
        <w:rPr>
          <w:rFonts w:eastAsia="Calibri" w:cstheme="minorHAnsi"/>
        </w:rPr>
        <w:t xml:space="preserve"> requires course objectives as part of the requirements for the course outline of record while the Accrediting Commission for Community and Junior Colleges (ACCJC) standards</w:t>
      </w:r>
      <w:hyperlink r:id="rId19" w:history="1">
        <w:r w:rsidR="000D1A21" w:rsidRPr="000B251C">
          <w:rPr>
            <w:rStyle w:val="Hyperlink"/>
            <w:rFonts w:eastAsia="Calibri" w:cstheme="minorHAnsi"/>
            <w:sz w:val="20"/>
            <w:vertAlign w:val="superscript"/>
          </w:rPr>
          <w:footnoteReference w:id="2"/>
        </w:r>
      </w:hyperlink>
      <w:r w:rsidRPr="009C7C04">
        <w:rPr>
          <w:rFonts w:eastAsia="Calibri" w:cstheme="minorHAnsi"/>
        </w:rPr>
        <w:t xml:space="preserve"> refer to student learning outcomes;</w:t>
      </w:r>
    </w:p>
    <w:p w14:paraId="2A9C267A" w14:textId="4BD85DED" w:rsidR="00F868BC" w:rsidRPr="009C7C04" w:rsidRDefault="00F868BC" w:rsidP="00F868BC">
      <w:pPr>
        <w:spacing w:line="257" w:lineRule="auto"/>
        <w:rPr>
          <w:rFonts w:cstheme="minorHAnsi"/>
        </w:rPr>
      </w:pPr>
      <w:r w:rsidRPr="009C7C04">
        <w:rPr>
          <w:rFonts w:eastAsia="Calibri" w:cstheme="minorHAnsi"/>
        </w:rPr>
        <w:t>Whereas, The WASC Senior College and University Commission (WSCUC) serves as the accreditation agency for the California State University and the University of California systems as well as many other universities in California and more globally</w:t>
      </w:r>
      <w:r w:rsidR="006B1BEA">
        <w:rPr>
          <w:rFonts w:eastAsia="Calibri" w:cstheme="minorHAnsi"/>
        </w:rPr>
        <w:t>,</w:t>
      </w:r>
      <w:r w:rsidRPr="009C7C04">
        <w:rPr>
          <w:rFonts w:eastAsia="Calibri" w:cstheme="minorHAnsi"/>
        </w:rPr>
        <w:t xml:space="preserve"> and WSCUC standards</w:t>
      </w:r>
      <w:hyperlink r:id="rId20" w:anchor="standards-of-accreditation" w:history="1">
        <w:r w:rsidR="00305543" w:rsidRPr="007B13BE">
          <w:rPr>
            <w:rStyle w:val="Hyperlink"/>
            <w:rFonts w:eastAsia="Calibri" w:cstheme="minorHAnsi"/>
            <w:sz w:val="20"/>
            <w:vertAlign w:val="superscript"/>
          </w:rPr>
          <w:footnoteReference w:id="3"/>
        </w:r>
      </w:hyperlink>
      <w:r w:rsidRPr="009C7C04">
        <w:rPr>
          <w:rFonts w:eastAsia="Calibri" w:cstheme="minorHAnsi"/>
        </w:rPr>
        <w:t xml:space="preserve"> also refer to outcomes; and</w:t>
      </w:r>
    </w:p>
    <w:p w14:paraId="437CD6AF" w14:textId="77777777" w:rsidR="00F868BC" w:rsidRPr="009C7C04" w:rsidRDefault="00F868BC" w:rsidP="00F868BC">
      <w:pPr>
        <w:spacing w:line="257" w:lineRule="auto"/>
        <w:rPr>
          <w:rFonts w:cstheme="minorHAnsi"/>
        </w:rPr>
      </w:pPr>
      <w:r w:rsidRPr="009C7C04">
        <w:rPr>
          <w:rFonts w:eastAsia="Calibri" w:cstheme="minorHAnsi"/>
        </w:rPr>
        <w:t>Whereas, The course content of the course outline of record (COR) provides the context for the outcomes, often aligning with the current use of objectives, perhaps adding unnecessary redundancy to the COR;</w:t>
      </w:r>
    </w:p>
    <w:p w14:paraId="2744D28A" w14:textId="2C7B7F74" w:rsidR="00F868BC" w:rsidRPr="009C7C04" w:rsidRDefault="00F868BC" w:rsidP="00F868BC">
      <w:pPr>
        <w:spacing w:line="257" w:lineRule="auto"/>
        <w:rPr>
          <w:rFonts w:cstheme="minorHAnsi"/>
        </w:rPr>
      </w:pPr>
      <w:r w:rsidRPr="009C7C04">
        <w:rPr>
          <w:rFonts w:eastAsia="Calibri" w:cstheme="minorHAnsi"/>
        </w:rPr>
        <w:t xml:space="preserve">Resolved, That the Academic Senate for California Community Colleges work with the California Community Colleges Chancellors Office and other system partners to adopt using student learning outcomes as requirements </w:t>
      </w:r>
      <w:r w:rsidR="00275557">
        <w:rPr>
          <w:rFonts w:eastAsia="Calibri" w:cstheme="minorHAnsi"/>
        </w:rPr>
        <w:t xml:space="preserve">in Title 5 </w:t>
      </w:r>
      <w:r w:rsidRPr="009C7C04">
        <w:rPr>
          <w:rFonts w:eastAsia="Calibri" w:cstheme="minorHAnsi"/>
        </w:rPr>
        <w:t>instead of course objectives in the course outline of record (COR) to reduce redundancy in the COR and align with accreditation requirements for the California Community Colleges, the California State University, and the University of California systems.</w:t>
      </w:r>
    </w:p>
    <w:p w14:paraId="164DBF3E" w14:textId="77777777" w:rsidR="00F868BC" w:rsidRDefault="00F868BC" w:rsidP="00F868BC">
      <w:pPr>
        <w:spacing w:line="257" w:lineRule="auto"/>
        <w:rPr>
          <w:rFonts w:eastAsia="Calibri" w:cstheme="minorHAnsi"/>
        </w:rPr>
      </w:pPr>
      <w:r w:rsidRPr="009C7C04">
        <w:rPr>
          <w:rFonts w:eastAsia="Calibri" w:cstheme="minorHAnsi"/>
        </w:rPr>
        <w:t>Contact: Erik D. Reese, ASCCC Executive Committee</w:t>
      </w:r>
    </w:p>
    <w:p w14:paraId="1AE932D8" w14:textId="77777777" w:rsidR="002233AB" w:rsidRDefault="002233AB" w:rsidP="00F868BC">
      <w:pPr>
        <w:spacing w:line="257" w:lineRule="auto"/>
        <w:rPr>
          <w:rFonts w:eastAsia="Calibri" w:cstheme="minorHAnsi"/>
        </w:rPr>
      </w:pPr>
    </w:p>
    <w:p w14:paraId="373080E1" w14:textId="77777777" w:rsidR="002233AB" w:rsidRDefault="002233AB" w:rsidP="00F868BC">
      <w:pPr>
        <w:spacing w:line="257" w:lineRule="auto"/>
        <w:rPr>
          <w:rFonts w:eastAsia="Calibri" w:cstheme="minorHAnsi"/>
        </w:rPr>
      </w:pPr>
    </w:p>
    <w:p w14:paraId="6AC1F559" w14:textId="77777777" w:rsidR="002233AB" w:rsidRDefault="002233AB" w:rsidP="00F868BC">
      <w:pPr>
        <w:spacing w:line="257" w:lineRule="auto"/>
        <w:rPr>
          <w:rFonts w:eastAsia="Calibri" w:cstheme="minorHAnsi"/>
        </w:rPr>
      </w:pPr>
    </w:p>
    <w:p w14:paraId="078E75CA" w14:textId="77777777" w:rsidR="002233AB" w:rsidRDefault="002233AB" w:rsidP="00F868BC">
      <w:pPr>
        <w:spacing w:line="257" w:lineRule="auto"/>
        <w:rPr>
          <w:rFonts w:eastAsia="Calibri" w:cstheme="minorHAnsi"/>
        </w:rPr>
      </w:pPr>
    </w:p>
    <w:p w14:paraId="73042336" w14:textId="77777777" w:rsidR="002233AB" w:rsidRDefault="002233AB" w:rsidP="00F868BC">
      <w:pPr>
        <w:spacing w:line="257" w:lineRule="auto"/>
        <w:rPr>
          <w:rFonts w:eastAsia="Calibri" w:cstheme="minorHAnsi"/>
        </w:rPr>
      </w:pPr>
    </w:p>
    <w:p w14:paraId="185F17DF" w14:textId="77777777" w:rsidR="002233AB" w:rsidRDefault="002233AB" w:rsidP="00F868BC">
      <w:pPr>
        <w:spacing w:line="257" w:lineRule="auto"/>
        <w:rPr>
          <w:rFonts w:eastAsia="Calibri" w:cstheme="minorHAnsi"/>
        </w:rPr>
      </w:pPr>
    </w:p>
    <w:p w14:paraId="7140DD02" w14:textId="77777777" w:rsidR="002233AB" w:rsidRDefault="002233AB" w:rsidP="00F868BC">
      <w:pPr>
        <w:spacing w:line="257" w:lineRule="auto"/>
        <w:rPr>
          <w:rFonts w:eastAsia="Calibri" w:cstheme="minorHAnsi"/>
        </w:rPr>
      </w:pPr>
    </w:p>
    <w:p w14:paraId="35FC8E9E" w14:textId="77777777" w:rsidR="002233AB" w:rsidRPr="009C7C04" w:rsidRDefault="002233AB" w:rsidP="00F868BC">
      <w:pPr>
        <w:spacing w:line="257" w:lineRule="auto"/>
        <w:rPr>
          <w:rFonts w:cstheme="minorHAnsi"/>
        </w:rPr>
      </w:pPr>
    </w:p>
    <w:p w14:paraId="6689A95E" w14:textId="2E1163A3" w:rsidR="006F58AE" w:rsidRPr="00196A31" w:rsidRDefault="00EE3212" w:rsidP="002D1178">
      <w:pPr>
        <w:pStyle w:val="Heading2"/>
        <w:rPr>
          <w:rFonts w:eastAsia="Times New Roman"/>
        </w:rPr>
      </w:pPr>
      <w:bookmarkStart w:id="14" w:name="_Toc179530183"/>
      <w:bookmarkEnd w:id="13"/>
      <w:r>
        <w:rPr>
          <w:rFonts w:eastAsia="Times New Roman"/>
        </w:rPr>
        <w:lastRenderedPageBreak/>
        <w:t xml:space="preserve">105 </w:t>
      </w:r>
      <w:r w:rsidR="006F58AE" w:rsidRPr="00196A31">
        <w:rPr>
          <w:rFonts w:eastAsia="Times New Roman"/>
        </w:rPr>
        <w:t>Student Preparation and Success</w:t>
      </w:r>
      <w:bookmarkEnd w:id="14"/>
    </w:p>
    <w:p w14:paraId="6697C44D" w14:textId="13DE2B93" w:rsidR="00E02882" w:rsidRDefault="00AE1B9C" w:rsidP="00E02882">
      <w:pPr>
        <w:pStyle w:val="Heading3"/>
      </w:pPr>
      <w:bookmarkStart w:id="15" w:name="_Toc179530184"/>
      <w:r w:rsidRPr="00C136C5">
        <w:t>*</w:t>
      </w:r>
      <w:bookmarkEnd w:id="9"/>
      <w:bookmarkEnd w:id="10"/>
      <w:bookmarkEnd w:id="11"/>
      <w:r w:rsidR="00E02882">
        <w:rPr>
          <w:rFonts w:eastAsia="Times New Roman"/>
        </w:rPr>
        <w:t xml:space="preserve">105.01 </w:t>
      </w:r>
      <w:r w:rsidR="003068AF">
        <w:rPr>
          <w:rFonts w:eastAsia="Times New Roman"/>
        </w:rPr>
        <w:t xml:space="preserve">F24 </w:t>
      </w:r>
      <w:r w:rsidR="00E02882" w:rsidRPr="2C28EFC5">
        <w:rPr>
          <w:rFonts w:eastAsia="Times New Roman"/>
        </w:rPr>
        <w:t>Investigate Academic Renewal Policies</w:t>
      </w:r>
      <w:bookmarkEnd w:id="15"/>
    </w:p>
    <w:p w14:paraId="0480AECD" w14:textId="37D3A29D" w:rsidR="00E92D98" w:rsidRPr="00052AA9" w:rsidRDefault="00E92D98" w:rsidP="00E92D98">
      <w:pPr>
        <w:spacing w:after="0"/>
        <w:rPr>
          <w:rFonts w:cstheme="minorHAnsi"/>
        </w:rPr>
      </w:pPr>
      <w:bookmarkStart w:id="16" w:name="_Toc149835083"/>
      <w:r w:rsidRPr="00052AA9">
        <w:rPr>
          <w:rFonts w:eastAsia="Times New Roman" w:cstheme="minorHAnsi"/>
        </w:rPr>
        <w:t>Whereas, Academic renewal policies and procedures can alleviate some substandard grades for clear educational purposes</w:t>
      </w:r>
      <w:hyperlink r:id="rId21" w:history="1">
        <w:r w:rsidR="00DC2990" w:rsidRPr="00966B35">
          <w:rPr>
            <w:rStyle w:val="Hyperlink"/>
            <w:rFonts w:eastAsia="Times New Roman" w:cstheme="minorHAnsi"/>
            <w:sz w:val="20"/>
            <w:vertAlign w:val="superscript"/>
          </w:rPr>
          <w:footnoteReference w:id="4"/>
        </w:r>
      </w:hyperlink>
      <w:r w:rsidRPr="00052AA9">
        <w:rPr>
          <w:rFonts w:eastAsia="Times New Roman" w:cstheme="minorHAnsi"/>
        </w:rPr>
        <w:t>, such as when a student’s past academic performance does not reflect their recent academic performance, and academic renewal policies and procedures exist to, for example, help students re-attain good standing for academic progress, financial aid eligibility, or gain readmission to a community college;</w:t>
      </w:r>
    </w:p>
    <w:p w14:paraId="57BE9E33" w14:textId="77777777" w:rsidR="00E92D98" w:rsidRPr="00052AA9" w:rsidRDefault="00E92D98" w:rsidP="00E92D98">
      <w:pPr>
        <w:spacing w:after="0"/>
        <w:rPr>
          <w:rFonts w:cstheme="minorHAnsi"/>
        </w:rPr>
      </w:pPr>
      <w:r w:rsidRPr="00052AA9">
        <w:rPr>
          <w:rFonts w:eastAsia="Times New Roman" w:cstheme="minorHAnsi"/>
        </w:rPr>
        <w:t xml:space="preserve"> </w:t>
      </w:r>
    </w:p>
    <w:p w14:paraId="46C7FF6A" w14:textId="387FD15D" w:rsidR="00E92D98" w:rsidRPr="00052AA9" w:rsidRDefault="00E92D98" w:rsidP="00E92D98">
      <w:pPr>
        <w:spacing w:after="0"/>
        <w:rPr>
          <w:rFonts w:cstheme="minorHAnsi"/>
        </w:rPr>
      </w:pPr>
      <w:r w:rsidRPr="00052AA9">
        <w:rPr>
          <w:rFonts w:eastAsia="Times New Roman" w:cstheme="minorHAnsi"/>
        </w:rPr>
        <w:t>Whereas, Title 5 §55046</w:t>
      </w:r>
      <w:hyperlink r:id="rId22" w:history="1">
        <w:r w:rsidR="003E7915" w:rsidRPr="00966B35">
          <w:rPr>
            <w:rStyle w:val="Hyperlink"/>
            <w:rFonts w:eastAsia="Times New Roman" w:cstheme="minorHAnsi"/>
            <w:sz w:val="20"/>
            <w:vertAlign w:val="superscript"/>
          </w:rPr>
          <w:footnoteReference w:id="5"/>
        </w:r>
      </w:hyperlink>
      <w:r w:rsidRPr="00052AA9">
        <w:rPr>
          <w:rFonts w:eastAsia="Times New Roman" w:cstheme="minorHAnsi"/>
        </w:rPr>
        <w:t xml:space="preserve"> requires each community college district to develop academic renewal policies and procedures, but leaves flexibility for local variation</w:t>
      </w:r>
      <w:r w:rsidR="006B1BEA">
        <w:rPr>
          <w:rFonts w:eastAsia="Times New Roman" w:cstheme="minorHAnsi"/>
        </w:rPr>
        <w:t xml:space="preserve"> in</w:t>
      </w:r>
      <w:r w:rsidRPr="00052AA9">
        <w:rPr>
          <w:rFonts w:eastAsia="Times New Roman" w:cstheme="minorHAnsi"/>
        </w:rPr>
        <w:t xml:space="preserve"> the maximum amount of coursework that may be alleviated, the amount of coursework completed with a 2.00 GPA to be completed subsequent to the alleviated coursework, and the length of time elapsed since the coursework to be alleviated was recorded;</w:t>
      </w:r>
    </w:p>
    <w:p w14:paraId="019E6D23" w14:textId="77777777" w:rsidR="00E92D98" w:rsidRPr="00052AA9" w:rsidRDefault="00E92D98" w:rsidP="00E92D98">
      <w:pPr>
        <w:spacing w:after="0"/>
        <w:rPr>
          <w:rFonts w:cstheme="minorHAnsi"/>
        </w:rPr>
      </w:pPr>
      <w:r w:rsidRPr="00052AA9">
        <w:rPr>
          <w:rFonts w:eastAsia="Times New Roman" w:cstheme="minorHAnsi"/>
        </w:rPr>
        <w:t xml:space="preserve"> </w:t>
      </w:r>
    </w:p>
    <w:p w14:paraId="35CD9335" w14:textId="77777777" w:rsidR="00E92D98" w:rsidRPr="00052AA9" w:rsidRDefault="00E92D98" w:rsidP="00E92D98">
      <w:pPr>
        <w:spacing w:after="0"/>
        <w:rPr>
          <w:rFonts w:cstheme="minorHAnsi"/>
        </w:rPr>
      </w:pPr>
      <w:r w:rsidRPr="00052AA9">
        <w:rPr>
          <w:rFonts w:eastAsia="Times New Roman" w:cstheme="minorHAnsi"/>
        </w:rPr>
        <w:t>Whereas, District policies and procedures on academic renewal vary among California Community Colleges (CCCs), and therefore create differences in access to and the educational standards of the CCCs; and</w:t>
      </w:r>
    </w:p>
    <w:p w14:paraId="2A953AA3" w14:textId="77777777" w:rsidR="00E92D98" w:rsidRPr="00052AA9" w:rsidRDefault="00E92D98" w:rsidP="00E92D98">
      <w:pPr>
        <w:spacing w:after="0"/>
        <w:rPr>
          <w:rFonts w:cstheme="minorHAnsi"/>
        </w:rPr>
      </w:pPr>
      <w:r w:rsidRPr="00052AA9">
        <w:rPr>
          <w:rFonts w:eastAsia="Times New Roman" w:cstheme="minorHAnsi"/>
        </w:rPr>
        <w:t xml:space="preserve"> </w:t>
      </w:r>
    </w:p>
    <w:p w14:paraId="39F7511D" w14:textId="52064A65" w:rsidR="00E92D98" w:rsidRPr="00052AA9" w:rsidRDefault="00E92D98" w:rsidP="00E92D98">
      <w:pPr>
        <w:spacing w:after="0"/>
        <w:rPr>
          <w:rFonts w:cstheme="minorHAnsi"/>
        </w:rPr>
      </w:pPr>
      <w:r w:rsidRPr="00052AA9">
        <w:rPr>
          <w:rFonts w:eastAsia="Times New Roman" w:cstheme="minorHAnsi"/>
        </w:rPr>
        <w:t xml:space="preserve">Whereas, Academic renewal policies and procedures are </w:t>
      </w:r>
      <w:r w:rsidR="006B1BEA">
        <w:rPr>
          <w:rFonts w:eastAsia="Times New Roman" w:cstheme="minorHAnsi"/>
        </w:rPr>
        <w:t>an academic and professional matter</w:t>
      </w:r>
      <w:r w:rsidRPr="00052AA9">
        <w:rPr>
          <w:rFonts w:eastAsia="Times New Roman" w:cstheme="minorHAnsi"/>
        </w:rPr>
        <w:t>, specifically Title 5 §53200</w:t>
      </w:r>
      <w:r w:rsidR="006B1BEA">
        <w:rPr>
          <w:rFonts w:eastAsia="Times New Roman" w:cstheme="minorHAnsi"/>
        </w:rPr>
        <w:t>(c)(3) grading policies</w:t>
      </w:r>
      <w:hyperlink r:id="rId23" w:history="1">
        <w:r w:rsidR="00812A8A" w:rsidRPr="00966B35">
          <w:rPr>
            <w:rStyle w:val="Hyperlink"/>
            <w:rFonts w:eastAsia="Times New Roman" w:cstheme="minorHAnsi"/>
            <w:sz w:val="20"/>
            <w:vertAlign w:val="superscript"/>
          </w:rPr>
          <w:footnoteReference w:id="6"/>
        </w:r>
      </w:hyperlink>
      <w:r w:rsidRPr="00052AA9">
        <w:rPr>
          <w:rFonts w:eastAsia="Times New Roman" w:cstheme="minorHAnsi"/>
        </w:rPr>
        <w:t>;</w:t>
      </w:r>
    </w:p>
    <w:p w14:paraId="5FEF8D77" w14:textId="77777777" w:rsidR="00E92D98" w:rsidRPr="00052AA9" w:rsidRDefault="00E92D98" w:rsidP="00E92D98">
      <w:pPr>
        <w:spacing w:after="0"/>
        <w:rPr>
          <w:rFonts w:cstheme="minorHAnsi"/>
        </w:rPr>
      </w:pPr>
      <w:r w:rsidRPr="00052AA9">
        <w:rPr>
          <w:rFonts w:eastAsia="Times New Roman" w:cstheme="minorHAnsi"/>
        </w:rPr>
        <w:t xml:space="preserve"> </w:t>
      </w:r>
    </w:p>
    <w:p w14:paraId="0412F676" w14:textId="77777777" w:rsidR="00E92D98" w:rsidRPr="00052AA9" w:rsidRDefault="00E92D98" w:rsidP="00E92D98">
      <w:pPr>
        <w:spacing w:after="0"/>
        <w:rPr>
          <w:rFonts w:cstheme="minorHAnsi"/>
        </w:rPr>
      </w:pPr>
      <w:r w:rsidRPr="00052AA9">
        <w:rPr>
          <w:rFonts w:eastAsia="Times New Roman" w:cstheme="minorHAnsi"/>
        </w:rPr>
        <w:t>Resolved, That the Academic Senate for California Community Colleges survey district academic renewal policies with a focus on the maximum number of units that can be alleviated, the amount of coursework completed with a 2.00 GPA to be completed subsequent to the alleviated coursework, and the length of time elapsed since the coursework to be alleviated was recorded, and report on the results by Fall 2025; and</w:t>
      </w:r>
    </w:p>
    <w:p w14:paraId="6685B361" w14:textId="77777777" w:rsidR="00E92D98" w:rsidRPr="00052AA9" w:rsidRDefault="00E92D98" w:rsidP="00E92D98">
      <w:pPr>
        <w:spacing w:after="0"/>
        <w:rPr>
          <w:rFonts w:cstheme="minorHAnsi"/>
        </w:rPr>
      </w:pPr>
      <w:r w:rsidRPr="00052AA9">
        <w:rPr>
          <w:rFonts w:eastAsia="Times New Roman" w:cstheme="minorHAnsi"/>
        </w:rPr>
        <w:t xml:space="preserve"> </w:t>
      </w:r>
    </w:p>
    <w:p w14:paraId="323F7804" w14:textId="77777777" w:rsidR="00E92D98" w:rsidRPr="00052AA9" w:rsidRDefault="00E92D98" w:rsidP="00E92D98">
      <w:pPr>
        <w:spacing w:after="0"/>
        <w:rPr>
          <w:rFonts w:eastAsia="Times New Roman" w:cstheme="minorHAnsi"/>
        </w:rPr>
      </w:pPr>
      <w:r w:rsidRPr="00052AA9">
        <w:rPr>
          <w:rFonts w:eastAsia="Times New Roman" w:cstheme="minorHAnsi"/>
        </w:rPr>
        <w:t xml:space="preserve">Resolved, That the Academic Senate for California Community Colleges encourages local and district academic senates to evaluate their academic renewal policies and procedures’ criteria for renewal, and determine whether they are grounded in educational purposes, as defined locally. </w:t>
      </w:r>
    </w:p>
    <w:p w14:paraId="47EBFAE2" w14:textId="77777777" w:rsidR="00E92D98" w:rsidRPr="00052AA9" w:rsidRDefault="00E92D98" w:rsidP="00E92D98">
      <w:pPr>
        <w:spacing w:after="0"/>
        <w:rPr>
          <w:rFonts w:eastAsia="Times New Roman" w:cstheme="minorHAnsi"/>
        </w:rPr>
      </w:pPr>
    </w:p>
    <w:p w14:paraId="43048A3E" w14:textId="77777777" w:rsidR="00E92D98" w:rsidRPr="00052AA9" w:rsidRDefault="00E92D98" w:rsidP="00E92D98">
      <w:pPr>
        <w:spacing w:after="0"/>
        <w:rPr>
          <w:rFonts w:cstheme="minorHAnsi"/>
        </w:rPr>
      </w:pPr>
    </w:p>
    <w:p w14:paraId="203833B5" w14:textId="5660EBDE" w:rsidR="00E92D98" w:rsidRDefault="00E92D98" w:rsidP="00E92D98">
      <w:pPr>
        <w:spacing w:after="0"/>
        <w:rPr>
          <w:rFonts w:eastAsia="Times New Roman" w:cstheme="minorHAnsi"/>
        </w:rPr>
      </w:pPr>
      <w:r w:rsidRPr="00052AA9">
        <w:rPr>
          <w:rFonts w:eastAsia="Times New Roman" w:cstheme="minorHAnsi"/>
          <w:b/>
          <w:bCs/>
        </w:rPr>
        <w:t xml:space="preserve">Contact:  </w:t>
      </w:r>
      <w:r w:rsidRPr="00052AA9">
        <w:rPr>
          <w:rFonts w:eastAsia="Times New Roman" w:cstheme="minorHAnsi"/>
        </w:rPr>
        <w:t xml:space="preserve">Jacqueline </w:t>
      </w:r>
      <w:proofErr w:type="spellStart"/>
      <w:r w:rsidRPr="00052AA9">
        <w:rPr>
          <w:rFonts w:eastAsia="Times New Roman" w:cstheme="minorHAnsi"/>
        </w:rPr>
        <w:t>St</w:t>
      </w:r>
      <w:r w:rsidR="006B1BEA">
        <w:rPr>
          <w:rFonts w:eastAsia="Times New Roman" w:cstheme="minorHAnsi"/>
        </w:rPr>
        <w:t>ah</w:t>
      </w:r>
      <w:r w:rsidRPr="00052AA9">
        <w:rPr>
          <w:rFonts w:eastAsia="Times New Roman" w:cstheme="minorHAnsi"/>
        </w:rPr>
        <w:t>lke</w:t>
      </w:r>
      <w:proofErr w:type="spellEnd"/>
      <w:r w:rsidRPr="00052AA9">
        <w:rPr>
          <w:rFonts w:eastAsia="Times New Roman" w:cstheme="minorHAnsi"/>
        </w:rPr>
        <w:t>, Transfer, Articulation, and Student Services Committee</w:t>
      </w:r>
    </w:p>
    <w:p w14:paraId="2C599D0C" w14:textId="77777777" w:rsidR="008806B8" w:rsidRDefault="008806B8" w:rsidP="00E92D98">
      <w:pPr>
        <w:spacing w:after="0"/>
        <w:rPr>
          <w:rFonts w:eastAsia="Times New Roman" w:cstheme="minorHAnsi"/>
        </w:rPr>
      </w:pPr>
    </w:p>
    <w:p w14:paraId="14C3786E" w14:textId="77777777" w:rsidR="008806B8" w:rsidRDefault="008806B8" w:rsidP="00E92D98">
      <w:pPr>
        <w:spacing w:after="0"/>
        <w:rPr>
          <w:rFonts w:cstheme="minorHAnsi"/>
        </w:rPr>
      </w:pPr>
    </w:p>
    <w:p w14:paraId="6DADD42B" w14:textId="77777777" w:rsidR="00B21BA4" w:rsidRPr="00052AA9" w:rsidRDefault="00B21BA4" w:rsidP="00E92D98">
      <w:pPr>
        <w:spacing w:after="0"/>
        <w:rPr>
          <w:rFonts w:cstheme="minorHAnsi"/>
        </w:rPr>
      </w:pPr>
    </w:p>
    <w:p w14:paraId="5938F940" w14:textId="77777777" w:rsidR="008806B8" w:rsidRPr="00196A31" w:rsidRDefault="008806B8" w:rsidP="008806B8">
      <w:pPr>
        <w:pStyle w:val="Heading2"/>
      </w:pPr>
      <w:bookmarkStart w:id="17" w:name="_Toc179530185"/>
      <w:bookmarkStart w:id="18" w:name="_Toc149835084"/>
      <w:bookmarkEnd w:id="16"/>
      <w:r>
        <w:lastRenderedPageBreak/>
        <w:t xml:space="preserve">111 </w:t>
      </w:r>
      <w:r w:rsidRPr="00196A31">
        <w:t>Academic Senate for California Community Colleges</w:t>
      </w:r>
      <w:bookmarkEnd w:id="17"/>
    </w:p>
    <w:p w14:paraId="2925A944" w14:textId="4B623CE0" w:rsidR="00ED3ABD" w:rsidRPr="006A5378" w:rsidRDefault="00A010F6" w:rsidP="006A5378">
      <w:pPr>
        <w:pStyle w:val="Heading3"/>
      </w:pPr>
      <w:bookmarkStart w:id="19" w:name="_Toc179530186"/>
      <w:r>
        <w:t>*</w:t>
      </w:r>
      <w:r w:rsidR="006A5378" w:rsidRPr="006A5378">
        <w:t>111</w:t>
      </w:r>
      <w:r w:rsidR="00ED3ABD" w:rsidRPr="006A5378">
        <w:t>.01 F2</w:t>
      </w:r>
      <w:r w:rsidR="006A5378" w:rsidRPr="006A5378">
        <w:t>4</w:t>
      </w:r>
      <w:r w:rsidR="00ED3ABD" w:rsidRPr="006A5378">
        <w:t xml:space="preserve"> </w:t>
      </w:r>
      <w:bookmarkEnd w:id="18"/>
      <w:r w:rsidR="006A5378" w:rsidRPr="006A5378">
        <w:t>Update the ASCCC Paper, “The Role of Counseling Faculty</w:t>
      </w:r>
      <w:r w:rsidR="00186149">
        <w:t xml:space="preserve"> and the Delivery of </w:t>
      </w:r>
      <w:r w:rsidR="00C9649F">
        <w:t>Counseling Service</w:t>
      </w:r>
      <w:r w:rsidR="002F3E8C">
        <w:t>s</w:t>
      </w:r>
      <w:r w:rsidR="006A5378" w:rsidRPr="006A5378">
        <w:t xml:space="preserve"> in the California Community Colleges”</w:t>
      </w:r>
      <w:bookmarkEnd w:id="19"/>
    </w:p>
    <w:p w14:paraId="14818804" w14:textId="64B7E52A" w:rsidR="00851B7D" w:rsidRPr="00851B7D" w:rsidRDefault="00851B7D" w:rsidP="00851B7D">
      <w:pPr>
        <w:spacing w:after="0"/>
        <w:rPr>
          <w:rFonts w:cstheme="minorHAnsi"/>
        </w:rPr>
      </w:pPr>
      <w:bookmarkStart w:id="20" w:name="_Toc149835085"/>
      <w:r w:rsidRPr="00851B7D">
        <w:rPr>
          <w:rFonts w:eastAsia="Times New Roman" w:cstheme="minorHAnsi"/>
        </w:rPr>
        <w:t>Whereas, The COVID-19 pandemic fundamentally shaped how counseling and student services faculty provide support for students through the increased use of technology to both serve students in-person and remotely and increased the need to address mental health issues among college-aged students through</w:t>
      </w:r>
      <w:r w:rsidRPr="00F260A4">
        <w:rPr>
          <w:rFonts w:eastAsia="Times New Roman" w:cstheme="minorHAnsi"/>
        </w:rPr>
        <w:t xml:space="preserve"> trauma-informed care</w:t>
      </w:r>
      <w:hyperlink r:id="rId24" w:history="1">
        <w:r w:rsidR="00FE7D76" w:rsidRPr="00F679DE">
          <w:rPr>
            <w:rStyle w:val="Hyperlink"/>
            <w:rFonts w:eastAsia="Times New Roman" w:cstheme="minorHAnsi"/>
            <w:sz w:val="20"/>
            <w:vertAlign w:val="superscript"/>
          </w:rPr>
          <w:footnoteReference w:id="7"/>
        </w:r>
      </w:hyperlink>
      <w:r w:rsidRPr="00851B7D">
        <w:rPr>
          <w:rFonts w:eastAsia="Times New Roman" w:cstheme="minorHAnsi"/>
        </w:rPr>
        <w:t>;</w:t>
      </w:r>
    </w:p>
    <w:p w14:paraId="484BC50A" w14:textId="77777777" w:rsidR="00851B7D" w:rsidRPr="00851B7D" w:rsidRDefault="00851B7D" w:rsidP="00851B7D">
      <w:pPr>
        <w:spacing w:after="0"/>
        <w:rPr>
          <w:rFonts w:cstheme="minorHAnsi"/>
        </w:rPr>
      </w:pPr>
      <w:r w:rsidRPr="00851B7D">
        <w:rPr>
          <w:rFonts w:eastAsia="Times New Roman" w:cstheme="minorHAnsi"/>
        </w:rPr>
        <w:t xml:space="preserve"> </w:t>
      </w:r>
    </w:p>
    <w:p w14:paraId="1DD2E455" w14:textId="10448E4D" w:rsidR="00851B7D" w:rsidRPr="00851B7D" w:rsidRDefault="00851B7D" w:rsidP="00851B7D">
      <w:pPr>
        <w:spacing w:after="0"/>
        <w:rPr>
          <w:rFonts w:cstheme="minorHAnsi"/>
        </w:rPr>
      </w:pPr>
      <w:r w:rsidRPr="00851B7D">
        <w:rPr>
          <w:rFonts w:eastAsia="Times New Roman" w:cstheme="minorHAnsi"/>
        </w:rPr>
        <w:t>Whereas, The California Legislature has enacted AB 705 (2017, Irwin)</w:t>
      </w:r>
      <w:hyperlink r:id="rId25" w:history="1">
        <w:r w:rsidR="008C3674" w:rsidRPr="00F679DE">
          <w:rPr>
            <w:rStyle w:val="Hyperlink"/>
            <w:rFonts w:eastAsia="Times New Roman" w:cstheme="minorHAnsi"/>
            <w:sz w:val="20"/>
            <w:vertAlign w:val="superscript"/>
          </w:rPr>
          <w:footnoteReference w:id="8"/>
        </w:r>
      </w:hyperlink>
      <w:r w:rsidRPr="00851B7D">
        <w:rPr>
          <w:rFonts w:eastAsia="Times New Roman" w:cstheme="minorHAnsi"/>
        </w:rPr>
        <w:t xml:space="preserve"> and AB 1705 (2021, Irwin)</w:t>
      </w:r>
      <w:hyperlink r:id="rId26" w:history="1">
        <w:r w:rsidR="002335B7" w:rsidRPr="00F679DE">
          <w:rPr>
            <w:rStyle w:val="Hyperlink"/>
            <w:rFonts w:eastAsia="Times New Roman" w:cstheme="minorHAnsi"/>
            <w:sz w:val="20"/>
            <w:vertAlign w:val="superscript"/>
          </w:rPr>
          <w:footnoteReference w:id="9"/>
        </w:r>
      </w:hyperlink>
      <w:r w:rsidRPr="00851B7D">
        <w:rPr>
          <w:rFonts w:eastAsia="Times New Roman" w:cstheme="minorHAnsi"/>
        </w:rPr>
        <w:t xml:space="preserve"> which has impacted counseling roles and practices regarding advisement of students in placement for math, English, and English as a Second Language;</w:t>
      </w:r>
    </w:p>
    <w:p w14:paraId="3E8E403C" w14:textId="77777777" w:rsidR="00851B7D" w:rsidRPr="00851B7D" w:rsidRDefault="00851B7D" w:rsidP="00851B7D">
      <w:pPr>
        <w:spacing w:after="0"/>
        <w:rPr>
          <w:rFonts w:cstheme="minorHAnsi"/>
        </w:rPr>
      </w:pPr>
      <w:r w:rsidRPr="00851B7D">
        <w:rPr>
          <w:rFonts w:eastAsia="Times New Roman" w:cstheme="minorHAnsi"/>
        </w:rPr>
        <w:t xml:space="preserve"> </w:t>
      </w:r>
    </w:p>
    <w:p w14:paraId="72430FD7" w14:textId="7DDF5FFC" w:rsidR="00851B7D" w:rsidRPr="00851B7D" w:rsidRDefault="00851B7D" w:rsidP="00851B7D">
      <w:pPr>
        <w:spacing w:after="0"/>
        <w:rPr>
          <w:rFonts w:cstheme="minorHAnsi"/>
        </w:rPr>
      </w:pPr>
      <w:r w:rsidRPr="00851B7D">
        <w:rPr>
          <w:rFonts w:eastAsia="Times New Roman" w:cstheme="minorHAnsi"/>
        </w:rPr>
        <w:t>Whereas, the California Community Colleges have adopted the guided pathways framework</w:t>
      </w:r>
      <w:hyperlink r:id="rId27" w:history="1">
        <w:r w:rsidR="00CD6BBB" w:rsidRPr="00F679DE">
          <w:rPr>
            <w:rStyle w:val="Hyperlink"/>
            <w:rFonts w:eastAsia="Times New Roman" w:cstheme="minorHAnsi"/>
            <w:sz w:val="20"/>
            <w:vertAlign w:val="superscript"/>
          </w:rPr>
          <w:footnoteReference w:id="10"/>
        </w:r>
      </w:hyperlink>
      <w:r w:rsidRPr="00851B7D">
        <w:rPr>
          <w:rFonts w:eastAsia="Times New Roman" w:cstheme="minorHAnsi"/>
        </w:rPr>
        <w:t xml:space="preserve"> and the California Community College Chancellor’s Office has developed and adopted </w:t>
      </w:r>
      <w:r w:rsidRPr="00FC0036">
        <w:rPr>
          <w:rFonts w:eastAsia="Times New Roman" w:cstheme="minorHAnsi"/>
        </w:rPr>
        <w:t>Vision 2030</w:t>
      </w:r>
      <w:hyperlink r:id="rId28" w:history="1">
        <w:r w:rsidR="00FC0036" w:rsidRPr="00F679DE">
          <w:rPr>
            <w:rStyle w:val="Hyperlink"/>
            <w:rFonts w:eastAsia="Times New Roman" w:cstheme="minorHAnsi"/>
            <w:sz w:val="20"/>
            <w:vertAlign w:val="superscript"/>
          </w:rPr>
          <w:footnoteReference w:id="11"/>
        </w:r>
      </w:hyperlink>
      <w:r w:rsidRPr="00851B7D">
        <w:rPr>
          <w:rFonts w:eastAsia="Times New Roman" w:cstheme="minorHAnsi"/>
        </w:rPr>
        <w:t xml:space="preserve"> to close equity gaps and meet California’s workforce needs, increasing the need for counselors to </w:t>
      </w:r>
      <w:r w:rsidR="006B1BEA">
        <w:rPr>
          <w:rFonts w:eastAsia="Times New Roman" w:cstheme="minorHAnsi"/>
        </w:rPr>
        <w:t>use varied strategies to support</w:t>
      </w:r>
      <w:r w:rsidRPr="00851B7D">
        <w:rPr>
          <w:rFonts w:eastAsia="Times New Roman" w:cstheme="minorHAnsi"/>
        </w:rPr>
        <w:t xml:space="preserve"> disproportionately impacted student groups (e.g., African American/Black, Latinx/e, undocumented, justice impacted); and</w:t>
      </w:r>
    </w:p>
    <w:p w14:paraId="11C3A757" w14:textId="77777777" w:rsidR="00851B7D" w:rsidRPr="00851B7D" w:rsidRDefault="00851B7D" w:rsidP="00851B7D">
      <w:pPr>
        <w:spacing w:after="0"/>
        <w:rPr>
          <w:rFonts w:cstheme="minorHAnsi"/>
        </w:rPr>
      </w:pPr>
      <w:r w:rsidRPr="00851B7D">
        <w:rPr>
          <w:rFonts w:eastAsia="Times New Roman" w:cstheme="minorHAnsi"/>
        </w:rPr>
        <w:t xml:space="preserve"> </w:t>
      </w:r>
    </w:p>
    <w:p w14:paraId="19F76E61" w14:textId="22B53513" w:rsidR="00851B7D" w:rsidRPr="00851B7D" w:rsidRDefault="00851B7D" w:rsidP="00851B7D">
      <w:pPr>
        <w:spacing w:after="0"/>
        <w:rPr>
          <w:rFonts w:cstheme="minorHAnsi"/>
        </w:rPr>
      </w:pPr>
      <w:r w:rsidRPr="00851B7D">
        <w:rPr>
          <w:rFonts w:eastAsia="Times New Roman" w:cstheme="minorHAnsi"/>
        </w:rPr>
        <w:t xml:space="preserve">Whereas, The Academic Senate for California Community College’s paper </w:t>
      </w:r>
      <w:r w:rsidRPr="009D4419">
        <w:rPr>
          <w:rFonts w:eastAsia="Times New Roman" w:cstheme="minorHAnsi"/>
          <w:i/>
          <w:iCs/>
        </w:rPr>
        <w:t>The Role of Counseling Faculty</w:t>
      </w:r>
      <w:r w:rsidR="00C9649F" w:rsidRPr="009D4419">
        <w:rPr>
          <w:rFonts w:eastAsia="Times New Roman" w:cstheme="minorHAnsi"/>
          <w:i/>
          <w:iCs/>
        </w:rPr>
        <w:t xml:space="preserve"> and the Delivery of Counseling Services</w:t>
      </w:r>
      <w:r w:rsidRPr="009D4419">
        <w:rPr>
          <w:rFonts w:eastAsia="Times New Roman" w:cstheme="minorHAnsi"/>
          <w:i/>
          <w:iCs/>
        </w:rPr>
        <w:t xml:space="preserve"> in the California Community Colleges</w:t>
      </w:r>
      <w:hyperlink r:id="rId29" w:history="1">
        <w:r w:rsidR="00C9649F" w:rsidRPr="007C7CEA">
          <w:rPr>
            <w:rStyle w:val="Hyperlink"/>
            <w:rFonts w:eastAsia="Times New Roman" w:cstheme="minorHAnsi"/>
            <w:sz w:val="20"/>
            <w:vertAlign w:val="superscript"/>
          </w:rPr>
          <w:footnoteReference w:id="12"/>
        </w:r>
      </w:hyperlink>
      <w:r w:rsidRPr="00851B7D">
        <w:rPr>
          <w:rFonts w:eastAsia="Times New Roman" w:cstheme="minorHAnsi"/>
        </w:rPr>
        <w:t xml:space="preserve"> has not been updated since 2012; </w:t>
      </w:r>
    </w:p>
    <w:p w14:paraId="44523470" w14:textId="77777777" w:rsidR="00851B7D" w:rsidRPr="00851B7D" w:rsidRDefault="00851B7D" w:rsidP="00851B7D">
      <w:pPr>
        <w:spacing w:after="0"/>
        <w:rPr>
          <w:rFonts w:cstheme="minorHAnsi"/>
        </w:rPr>
      </w:pPr>
      <w:r w:rsidRPr="00851B7D">
        <w:rPr>
          <w:rFonts w:eastAsia="Times New Roman" w:cstheme="minorHAnsi"/>
        </w:rPr>
        <w:t xml:space="preserve"> </w:t>
      </w:r>
    </w:p>
    <w:p w14:paraId="20B2852E" w14:textId="0957EFB2" w:rsidR="00851B7D" w:rsidRPr="00851B7D" w:rsidRDefault="00851B7D" w:rsidP="00851B7D">
      <w:pPr>
        <w:spacing w:after="0"/>
        <w:rPr>
          <w:rFonts w:cstheme="minorHAnsi"/>
        </w:rPr>
      </w:pPr>
      <w:r w:rsidRPr="00851B7D">
        <w:rPr>
          <w:rFonts w:eastAsia="Times New Roman" w:cstheme="minorHAnsi"/>
        </w:rPr>
        <w:t xml:space="preserve">Resolved, That the Academic Senate for California Community Colleges update the paper </w:t>
      </w:r>
      <w:r w:rsidRPr="009D4419">
        <w:rPr>
          <w:rFonts w:eastAsia="Times New Roman" w:cstheme="minorHAnsi"/>
          <w:i/>
          <w:iCs/>
        </w:rPr>
        <w:t>The Role of Counseling Faculty</w:t>
      </w:r>
      <w:r w:rsidR="004D6D9B" w:rsidRPr="009D4419">
        <w:rPr>
          <w:rFonts w:eastAsia="Times New Roman" w:cstheme="minorHAnsi"/>
          <w:i/>
          <w:iCs/>
        </w:rPr>
        <w:t xml:space="preserve"> and the Delivery of Counseling Services</w:t>
      </w:r>
      <w:r w:rsidRPr="009D4419">
        <w:rPr>
          <w:rFonts w:eastAsia="Times New Roman" w:cstheme="minorHAnsi"/>
          <w:i/>
          <w:iCs/>
        </w:rPr>
        <w:t xml:space="preserve"> in California Community Colleges</w:t>
      </w:r>
      <w:r w:rsidRPr="00851B7D">
        <w:rPr>
          <w:rFonts w:eastAsia="Times New Roman" w:cstheme="minorHAnsi"/>
        </w:rPr>
        <w:t xml:space="preserve"> to include equitable practices in counseling on course placement, educational planning, appropriate roles for paraprofessionals and faculty advisors, the use of online counseling and technological tools for delivering some counseling services, the adoption of guided pathways, increased focus on career counseling, trauma-informed practices in providing crisis counseling, and the practice of case management to support student’s basic needs, to be completed by Spring 2026.</w:t>
      </w:r>
    </w:p>
    <w:p w14:paraId="7BABFD0A" w14:textId="77777777" w:rsidR="00851B7D" w:rsidRPr="00851B7D" w:rsidRDefault="00851B7D" w:rsidP="00851B7D">
      <w:pPr>
        <w:spacing w:after="0"/>
        <w:rPr>
          <w:rFonts w:cstheme="minorHAnsi"/>
        </w:rPr>
      </w:pPr>
      <w:r w:rsidRPr="00851B7D">
        <w:rPr>
          <w:rFonts w:eastAsia="Times New Roman" w:cstheme="minorHAnsi"/>
        </w:rPr>
        <w:t xml:space="preserve"> </w:t>
      </w:r>
    </w:p>
    <w:p w14:paraId="101765D7" w14:textId="6109F5AC" w:rsidR="00851B7D" w:rsidRDefault="00851B7D" w:rsidP="00851B7D">
      <w:pPr>
        <w:spacing w:after="0"/>
        <w:rPr>
          <w:rFonts w:eastAsia="Times New Roman" w:cstheme="minorHAnsi"/>
        </w:rPr>
      </w:pPr>
      <w:r w:rsidRPr="00851B7D">
        <w:rPr>
          <w:rFonts w:eastAsia="Times New Roman" w:cstheme="minorHAnsi"/>
          <w:b/>
          <w:bCs/>
        </w:rPr>
        <w:t xml:space="preserve">Contact: </w:t>
      </w:r>
      <w:r w:rsidRPr="00851B7D">
        <w:rPr>
          <w:rFonts w:eastAsia="Times New Roman" w:cstheme="minorHAnsi"/>
        </w:rPr>
        <w:t>Jacqu</w:t>
      </w:r>
      <w:r w:rsidR="006B1BEA">
        <w:rPr>
          <w:rFonts w:eastAsia="Times New Roman" w:cstheme="minorHAnsi"/>
        </w:rPr>
        <w:t>el</w:t>
      </w:r>
      <w:r w:rsidRPr="00851B7D">
        <w:rPr>
          <w:rFonts w:eastAsia="Times New Roman" w:cstheme="minorHAnsi"/>
        </w:rPr>
        <w:t xml:space="preserve">ine </w:t>
      </w:r>
      <w:proofErr w:type="spellStart"/>
      <w:r w:rsidRPr="00851B7D">
        <w:rPr>
          <w:rFonts w:eastAsia="Times New Roman" w:cstheme="minorHAnsi"/>
        </w:rPr>
        <w:t>St</w:t>
      </w:r>
      <w:r w:rsidR="006B1BEA">
        <w:rPr>
          <w:rFonts w:eastAsia="Times New Roman" w:cstheme="minorHAnsi"/>
        </w:rPr>
        <w:t>ah</w:t>
      </w:r>
      <w:r w:rsidRPr="00851B7D">
        <w:rPr>
          <w:rFonts w:eastAsia="Times New Roman" w:cstheme="minorHAnsi"/>
        </w:rPr>
        <w:t>lke</w:t>
      </w:r>
      <w:proofErr w:type="spellEnd"/>
      <w:r w:rsidRPr="00851B7D">
        <w:rPr>
          <w:rFonts w:eastAsia="Times New Roman" w:cstheme="minorHAnsi"/>
        </w:rPr>
        <w:t>,</w:t>
      </w:r>
      <w:r w:rsidRPr="00851B7D">
        <w:rPr>
          <w:rFonts w:eastAsia="Times New Roman" w:cstheme="minorHAnsi"/>
          <w:b/>
          <w:bCs/>
        </w:rPr>
        <w:t xml:space="preserve"> </w:t>
      </w:r>
      <w:r w:rsidRPr="00851B7D">
        <w:rPr>
          <w:rFonts w:eastAsia="Times New Roman" w:cstheme="minorHAnsi"/>
        </w:rPr>
        <w:t>Transfer, Articulation, and Student Services Committee</w:t>
      </w:r>
    </w:p>
    <w:p w14:paraId="61BFCB6F" w14:textId="77777777" w:rsidR="00CC1EF9" w:rsidRDefault="00CC1EF9" w:rsidP="00851B7D">
      <w:pPr>
        <w:spacing w:after="0"/>
        <w:rPr>
          <w:rFonts w:eastAsia="Times New Roman" w:cstheme="minorHAnsi"/>
        </w:rPr>
      </w:pPr>
    </w:p>
    <w:p w14:paraId="778FEB0E" w14:textId="77777777" w:rsidR="002D379F" w:rsidRDefault="002D379F" w:rsidP="00851B7D">
      <w:pPr>
        <w:spacing w:after="0"/>
        <w:rPr>
          <w:rFonts w:eastAsia="Times New Roman" w:cstheme="minorHAnsi"/>
        </w:rPr>
      </w:pPr>
    </w:p>
    <w:p w14:paraId="21726FF2" w14:textId="77777777" w:rsidR="002D379F" w:rsidRDefault="002D379F" w:rsidP="00851B7D">
      <w:pPr>
        <w:spacing w:after="0"/>
        <w:rPr>
          <w:rFonts w:eastAsia="Times New Roman" w:cstheme="minorHAnsi"/>
        </w:rPr>
      </w:pPr>
    </w:p>
    <w:p w14:paraId="31F89518" w14:textId="77777777" w:rsidR="002D379F" w:rsidRDefault="002D379F" w:rsidP="00851B7D">
      <w:pPr>
        <w:spacing w:after="0"/>
        <w:rPr>
          <w:rFonts w:eastAsia="Times New Roman" w:cstheme="minorHAnsi"/>
        </w:rPr>
      </w:pPr>
    </w:p>
    <w:p w14:paraId="0BA7874B" w14:textId="77777777" w:rsidR="002D379F" w:rsidRDefault="002D379F" w:rsidP="00851B7D">
      <w:pPr>
        <w:spacing w:after="0"/>
        <w:rPr>
          <w:rFonts w:eastAsia="Times New Roman" w:cstheme="minorHAnsi"/>
        </w:rPr>
      </w:pPr>
    </w:p>
    <w:p w14:paraId="0191D30C" w14:textId="77777777" w:rsidR="002D379F" w:rsidRDefault="002D379F" w:rsidP="00851B7D">
      <w:pPr>
        <w:spacing w:after="0"/>
        <w:rPr>
          <w:rFonts w:eastAsia="Times New Roman" w:cstheme="minorHAnsi"/>
        </w:rPr>
      </w:pPr>
    </w:p>
    <w:p w14:paraId="1F77D75D" w14:textId="77777777" w:rsidR="002D379F" w:rsidRDefault="002D379F" w:rsidP="00851B7D">
      <w:pPr>
        <w:spacing w:after="0"/>
        <w:rPr>
          <w:rFonts w:eastAsia="Times New Roman" w:cstheme="minorHAnsi"/>
        </w:rPr>
      </w:pPr>
    </w:p>
    <w:p w14:paraId="00DB264C" w14:textId="77777777" w:rsidR="002D379F" w:rsidRDefault="002D379F" w:rsidP="00851B7D">
      <w:pPr>
        <w:spacing w:after="0"/>
        <w:rPr>
          <w:rFonts w:eastAsia="Times New Roman" w:cstheme="minorHAnsi"/>
        </w:rPr>
      </w:pPr>
    </w:p>
    <w:p w14:paraId="2B9360C3" w14:textId="08CD9194" w:rsidR="00927A48" w:rsidRPr="00927A48" w:rsidRDefault="00A010F6" w:rsidP="00927A48">
      <w:pPr>
        <w:pStyle w:val="Heading3"/>
        <w:rPr>
          <w:rFonts w:ascii="Times New Roman" w:eastAsia="Times New Roman" w:hAnsi="Times New Roman" w:cs="Times New Roman"/>
        </w:rPr>
      </w:pPr>
      <w:bookmarkStart w:id="21" w:name="_Toc179530187"/>
      <w:r>
        <w:rPr>
          <w:rFonts w:ascii="Times New Roman" w:eastAsia="Times New Roman" w:hAnsi="Times New Roman" w:cs="Times New Roman"/>
        </w:rPr>
        <w:lastRenderedPageBreak/>
        <w:t>*</w:t>
      </w:r>
      <w:r w:rsidR="00CC1EF9" w:rsidRPr="00AD5D8F">
        <w:rPr>
          <w:rFonts w:ascii="Times New Roman" w:eastAsia="Times New Roman" w:hAnsi="Times New Roman" w:cs="Times New Roman"/>
        </w:rPr>
        <w:t>111.02</w:t>
      </w:r>
      <w:r w:rsidR="00CC1EF9">
        <w:rPr>
          <w:rFonts w:ascii="Times New Roman" w:eastAsia="Times New Roman" w:hAnsi="Times New Roman" w:cs="Times New Roman"/>
        </w:rPr>
        <w:t xml:space="preserve"> </w:t>
      </w:r>
      <w:r w:rsidR="003068AF">
        <w:rPr>
          <w:rFonts w:eastAsia="Arial"/>
        </w:rPr>
        <w:t xml:space="preserve">F24 </w:t>
      </w:r>
      <w:r w:rsidR="00CC1EF9" w:rsidRPr="2C28EFC5">
        <w:rPr>
          <w:rFonts w:eastAsia="Arial"/>
        </w:rPr>
        <w:t>A</w:t>
      </w:r>
      <w:r w:rsidR="00812175">
        <w:rPr>
          <w:rFonts w:eastAsia="Arial"/>
        </w:rPr>
        <w:t>cademic Senate for California Community Colleges</w:t>
      </w:r>
      <w:r w:rsidR="00CC1EF9" w:rsidRPr="2C28EFC5">
        <w:rPr>
          <w:rFonts w:eastAsia="Arial"/>
        </w:rPr>
        <w:t xml:space="preserve"> Rules Revision</w:t>
      </w:r>
      <w:bookmarkEnd w:id="21"/>
    </w:p>
    <w:p w14:paraId="744596BB" w14:textId="33868D40" w:rsidR="00927A48" w:rsidRPr="00927A48" w:rsidRDefault="00927A48" w:rsidP="00927A48">
      <w:pPr>
        <w:spacing w:after="240"/>
        <w:rPr>
          <w:rFonts w:cstheme="minorHAnsi"/>
        </w:rPr>
      </w:pPr>
      <w:r w:rsidRPr="00927A48">
        <w:rPr>
          <w:rFonts w:eastAsia="Arial" w:cstheme="minorHAnsi"/>
          <w:szCs w:val="22"/>
        </w:rPr>
        <w:t xml:space="preserve">Whereas, The Academic Senate for California Community Colleges (ASCCC) Rules outline election procedures for the Executive Committee, procedures for filling vacancies on the Executive Committee, term limits for the Executive Committee, responsibilities of Executive Committee officers, the relationship between the Academic Senate Foundation and the Executive Committee, and the process for forming, amending, and deleting ASCCC standing committees, task forces, workgroups, and </w:t>
      </w:r>
      <w:r w:rsidRPr="00927A48">
        <w:rPr>
          <w:rFonts w:eastAsia="Arial" w:cstheme="minorHAnsi"/>
          <w:i/>
          <w:iCs/>
          <w:szCs w:val="22"/>
        </w:rPr>
        <w:t>ad hoc</w:t>
      </w:r>
      <w:r w:rsidRPr="00927A48">
        <w:rPr>
          <w:rFonts w:eastAsia="Arial" w:cstheme="minorHAnsi"/>
          <w:szCs w:val="22"/>
        </w:rPr>
        <w:t xml:space="preserve"> groups</w:t>
      </w:r>
      <w:r w:rsidR="007E5EAC">
        <w:rPr>
          <w:rFonts w:eastAsia="Arial" w:cstheme="minorHAnsi"/>
          <w:szCs w:val="22"/>
        </w:rPr>
        <w:t>;</w:t>
      </w:r>
    </w:p>
    <w:p w14:paraId="2CB471DB" w14:textId="68FA8942" w:rsidR="00927A48" w:rsidRPr="00927A48" w:rsidRDefault="00927A48" w:rsidP="00927A48">
      <w:pPr>
        <w:spacing w:before="240" w:after="240"/>
        <w:rPr>
          <w:rFonts w:cstheme="minorHAnsi"/>
        </w:rPr>
      </w:pPr>
      <w:r w:rsidRPr="00927A48">
        <w:rPr>
          <w:rFonts w:eastAsia="Arial" w:cstheme="minorHAnsi"/>
          <w:szCs w:val="22"/>
        </w:rPr>
        <w:t xml:space="preserve">Whereas, The Standards and Practices Committee reviewed and revised the </w:t>
      </w:r>
      <w:r w:rsidR="00630DEB">
        <w:rPr>
          <w:rFonts w:eastAsia="Arial" w:cstheme="minorHAnsi"/>
          <w:szCs w:val="22"/>
        </w:rPr>
        <w:t xml:space="preserve">ASCCC </w:t>
      </w:r>
      <w:r w:rsidRPr="00927A48">
        <w:rPr>
          <w:rFonts w:eastAsia="Arial" w:cstheme="minorHAnsi"/>
          <w:szCs w:val="22"/>
        </w:rPr>
        <w:t>Rules to ensure that they were consistent with all applicable laws, Academic Senate for California Community Colleges (ASCCC) policies and procedures, and prior adopted ASCCC resolutions</w:t>
      </w:r>
      <w:r w:rsidR="007E5EAC">
        <w:rPr>
          <w:rFonts w:eastAsia="Arial" w:cstheme="minorHAnsi"/>
          <w:szCs w:val="22"/>
        </w:rPr>
        <w:t>;</w:t>
      </w:r>
      <w:r w:rsidR="00025EDC">
        <w:rPr>
          <w:rFonts w:eastAsia="Arial" w:cstheme="minorHAnsi"/>
          <w:szCs w:val="22"/>
        </w:rPr>
        <w:t xml:space="preserve"> and</w:t>
      </w:r>
    </w:p>
    <w:p w14:paraId="2180A405" w14:textId="21670772" w:rsidR="00927A48" w:rsidRPr="00927A48" w:rsidRDefault="00927A48" w:rsidP="00927A48">
      <w:pPr>
        <w:spacing w:before="240" w:after="240"/>
        <w:rPr>
          <w:rFonts w:cstheme="minorHAnsi"/>
        </w:rPr>
      </w:pPr>
      <w:r w:rsidRPr="00927A48">
        <w:rPr>
          <w:rFonts w:eastAsia="Arial" w:cstheme="minorHAnsi"/>
          <w:szCs w:val="22"/>
        </w:rPr>
        <w:t xml:space="preserve">Whereas, The proposed revisions to the </w:t>
      </w:r>
      <w:r w:rsidR="00630DEB">
        <w:rPr>
          <w:rFonts w:eastAsia="Arial" w:cstheme="minorHAnsi"/>
          <w:szCs w:val="22"/>
        </w:rPr>
        <w:t xml:space="preserve">ASCCC </w:t>
      </w:r>
      <w:r w:rsidRPr="00927A48">
        <w:rPr>
          <w:rFonts w:eastAsia="Arial" w:cstheme="minorHAnsi"/>
          <w:szCs w:val="22"/>
        </w:rPr>
        <w:t>Rules were approved by the</w:t>
      </w:r>
      <w:r w:rsidR="00630DEB">
        <w:rPr>
          <w:rFonts w:eastAsia="Arial" w:cstheme="minorHAnsi"/>
          <w:szCs w:val="22"/>
        </w:rPr>
        <w:t xml:space="preserve"> ASCCC</w:t>
      </w:r>
      <w:r w:rsidRPr="00927A48">
        <w:rPr>
          <w:rFonts w:eastAsia="Arial" w:cstheme="minorHAnsi"/>
          <w:szCs w:val="22"/>
        </w:rPr>
        <w:t xml:space="preserve"> Board of Directors at the June 2024 Executive Committee meeting, were distributed to member </w:t>
      </w:r>
      <w:r w:rsidR="007A524E">
        <w:rPr>
          <w:rFonts w:eastAsia="Arial" w:cstheme="minorHAnsi"/>
          <w:szCs w:val="22"/>
        </w:rPr>
        <w:t>a</w:t>
      </w:r>
      <w:r w:rsidRPr="00927A48">
        <w:rPr>
          <w:rFonts w:eastAsia="Arial" w:cstheme="minorHAnsi"/>
          <w:szCs w:val="22"/>
        </w:rPr>
        <w:t xml:space="preserve">cademic </w:t>
      </w:r>
      <w:r w:rsidR="007A524E">
        <w:rPr>
          <w:rFonts w:eastAsia="Arial" w:cstheme="minorHAnsi"/>
          <w:szCs w:val="22"/>
        </w:rPr>
        <w:t>s</w:t>
      </w:r>
      <w:r w:rsidRPr="00927A48">
        <w:rPr>
          <w:rFonts w:eastAsia="Arial" w:cstheme="minorHAnsi"/>
          <w:szCs w:val="22"/>
        </w:rPr>
        <w:t>enates in advance of the Fall 2024 pre-plenary session area meetings, and were discussed during a breakout at the Fall 2024 Plenary Session;</w:t>
      </w:r>
    </w:p>
    <w:p w14:paraId="5F2115E7" w14:textId="000C5726" w:rsidR="00927A48" w:rsidRDefault="00927A48" w:rsidP="00927A48">
      <w:pPr>
        <w:spacing w:before="240" w:after="240"/>
        <w:rPr>
          <w:rFonts w:eastAsia="Arial" w:cstheme="minorHAnsi"/>
          <w:szCs w:val="22"/>
        </w:rPr>
      </w:pPr>
      <w:r w:rsidRPr="00927A48">
        <w:rPr>
          <w:rFonts w:eastAsia="Arial" w:cstheme="minorHAnsi"/>
          <w:szCs w:val="22"/>
        </w:rPr>
        <w:t xml:space="preserve">Resolved, That the Academic Senate for California Community Colleges adopt the revised </w:t>
      </w:r>
      <w:r w:rsidR="001177AB">
        <w:rPr>
          <w:rFonts w:eastAsia="Arial" w:cstheme="minorHAnsi"/>
          <w:szCs w:val="22"/>
        </w:rPr>
        <w:t>ASCCC</w:t>
      </w:r>
      <w:r w:rsidRPr="00927A48">
        <w:rPr>
          <w:rFonts w:eastAsia="Arial" w:cstheme="minorHAnsi"/>
          <w:szCs w:val="22"/>
        </w:rPr>
        <w:t xml:space="preserve"> Rules</w:t>
      </w:r>
      <w:hyperlink r:id="rId30" w:history="1">
        <w:r w:rsidR="00D947D3" w:rsidRPr="000D1491">
          <w:rPr>
            <w:rStyle w:val="Hyperlink"/>
            <w:rFonts w:eastAsia="Arial" w:cstheme="minorHAnsi"/>
            <w:sz w:val="20"/>
            <w:szCs w:val="22"/>
            <w:vertAlign w:val="superscript"/>
          </w:rPr>
          <w:footnoteReference w:id="13"/>
        </w:r>
      </w:hyperlink>
      <w:r w:rsidRPr="00927A48">
        <w:rPr>
          <w:rFonts w:eastAsia="Arial" w:cstheme="minorHAnsi"/>
          <w:szCs w:val="22"/>
        </w:rPr>
        <w:t xml:space="preserve"> and that the revised </w:t>
      </w:r>
      <w:r w:rsidR="001177AB">
        <w:rPr>
          <w:rFonts w:eastAsia="Arial" w:cstheme="minorHAnsi"/>
          <w:szCs w:val="22"/>
        </w:rPr>
        <w:t xml:space="preserve">ASCCC </w:t>
      </w:r>
      <w:r w:rsidRPr="00927A48">
        <w:rPr>
          <w:rFonts w:eastAsia="Arial" w:cstheme="minorHAnsi"/>
          <w:szCs w:val="22"/>
        </w:rPr>
        <w:t>Rules take effect immediately following their approval.</w:t>
      </w:r>
    </w:p>
    <w:p w14:paraId="135220B4" w14:textId="77777777" w:rsidR="00927A48" w:rsidRDefault="00927A48" w:rsidP="00927A48">
      <w:pPr>
        <w:spacing w:after="0" w:line="480" w:lineRule="auto"/>
        <w:rPr>
          <w:rFonts w:eastAsia="Times New Roman" w:cstheme="minorHAnsi"/>
        </w:rPr>
      </w:pPr>
      <w:r w:rsidRPr="00927A48">
        <w:rPr>
          <w:rFonts w:eastAsia="Times New Roman" w:cstheme="minorHAnsi"/>
        </w:rPr>
        <w:t>Contact: Christopher Howerton, ASCCC Executive Committee</w:t>
      </w:r>
    </w:p>
    <w:p w14:paraId="54DCB029" w14:textId="77777777" w:rsidR="00E37251" w:rsidRDefault="00E37251" w:rsidP="00927A48">
      <w:pPr>
        <w:spacing w:after="0" w:line="480" w:lineRule="auto"/>
        <w:rPr>
          <w:rFonts w:eastAsia="Times New Roman" w:cstheme="minorHAnsi"/>
        </w:rPr>
      </w:pPr>
    </w:p>
    <w:p w14:paraId="24D44B12" w14:textId="77777777" w:rsidR="00E37251" w:rsidRDefault="00E37251" w:rsidP="00927A48">
      <w:pPr>
        <w:spacing w:after="0" w:line="480" w:lineRule="auto"/>
        <w:rPr>
          <w:rFonts w:eastAsia="Times New Roman" w:cstheme="minorHAnsi"/>
        </w:rPr>
      </w:pPr>
    </w:p>
    <w:p w14:paraId="5145C90A" w14:textId="77777777" w:rsidR="00E37251" w:rsidRDefault="00E37251" w:rsidP="00927A48">
      <w:pPr>
        <w:spacing w:after="0" w:line="480" w:lineRule="auto"/>
        <w:rPr>
          <w:rFonts w:eastAsia="Times New Roman" w:cstheme="minorHAnsi"/>
        </w:rPr>
      </w:pPr>
    </w:p>
    <w:p w14:paraId="704E5BFF" w14:textId="77777777" w:rsidR="00E37251" w:rsidRDefault="00E37251" w:rsidP="00927A48">
      <w:pPr>
        <w:spacing w:after="0" w:line="480" w:lineRule="auto"/>
        <w:rPr>
          <w:rFonts w:eastAsia="Times New Roman" w:cstheme="minorHAnsi"/>
        </w:rPr>
      </w:pPr>
    </w:p>
    <w:p w14:paraId="2A88FD8D" w14:textId="77777777" w:rsidR="00E37251" w:rsidRDefault="00E37251" w:rsidP="00927A48">
      <w:pPr>
        <w:spacing w:after="0" w:line="480" w:lineRule="auto"/>
        <w:rPr>
          <w:rFonts w:eastAsia="Times New Roman" w:cstheme="minorHAnsi"/>
        </w:rPr>
      </w:pPr>
    </w:p>
    <w:p w14:paraId="1D1A132C" w14:textId="77777777" w:rsidR="00E37251" w:rsidRDefault="00E37251" w:rsidP="00927A48">
      <w:pPr>
        <w:spacing w:after="0" w:line="480" w:lineRule="auto"/>
        <w:rPr>
          <w:rFonts w:eastAsia="Times New Roman" w:cstheme="minorHAnsi"/>
        </w:rPr>
      </w:pPr>
    </w:p>
    <w:p w14:paraId="58CDF74A" w14:textId="77777777" w:rsidR="00E37251" w:rsidRDefault="00E37251" w:rsidP="00927A48">
      <w:pPr>
        <w:spacing w:after="0" w:line="480" w:lineRule="auto"/>
        <w:rPr>
          <w:rFonts w:eastAsia="Times New Roman" w:cstheme="minorHAnsi"/>
        </w:rPr>
      </w:pPr>
    </w:p>
    <w:p w14:paraId="5A52F12B" w14:textId="77777777" w:rsidR="00E37251" w:rsidRDefault="00E37251" w:rsidP="00927A48">
      <w:pPr>
        <w:spacing w:after="0" w:line="480" w:lineRule="auto"/>
        <w:rPr>
          <w:rFonts w:eastAsia="Times New Roman" w:cstheme="minorHAnsi"/>
        </w:rPr>
      </w:pPr>
    </w:p>
    <w:p w14:paraId="4D4D4FEE" w14:textId="77777777" w:rsidR="00E37251" w:rsidRDefault="00E37251" w:rsidP="00927A48">
      <w:pPr>
        <w:spacing w:after="0" w:line="480" w:lineRule="auto"/>
        <w:rPr>
          <w:rFonts w:eastAsia="Times New Roman" w:cstheme="minorHAnsi"/>
        </w:rPr>
      </w:pPr>
    </w:p>
    <w:p w14:paraId="26FF98EF" w14:textId="77777777" w:rsidR="00E37251" w:rsidRDefault="00E37251" w:rsidP="00927A48">
      <w:pPr>
        <w:spacing w:after="0" w:line="480" w:lineRule="auto"/>
        <w:rPr>
          <w:rFonts w:eastAsia="Times New Roman" w:cstheme="minorHAnsi"/>
        </w:rPr>
      </w:pPr>
    </w:p>
    <w:p w14:paraId="04667336" w14:textId="345FB3AA" w:rsidR="00BB5A80" w:rsidRPr="0073566A" w:rsidRDefault="00BB5A80" w:rsidP="00BB5A80">
      <w:pPr>
        <w:pStyle w:val="Heading3"/>
      </w:pPr>
      <w:bookmarkStart w:id="22" w:name="_Toc179530188"/>
      <w:r>
        <w:rPr>
          <w:rFonts w:ascii="Times New Roman" w:eastAsia="Times New Roman" w:hAnsi="Times New Roman" w:cs="Times New Roman"/>
        </w:rPr>
        <w:lastRenderedPageBreak/>
        <w:t>*</w:t>
      </w:r>
      <w:r w:rsidRPr="00AD5D8F">
        <w:rPr>
          <w:rFonts w:ascii="Times New Roman" w:eastAsia="Times New Roman" w:hAnsi="Times New Roman" w:cs="Times New Roman"/>
        </w:rPr>
        <w:t>111.03</w:t>
      </w:r>
      <w:r w:rsidRPr="2C28EFC5">
        <w:rPr>
          <w:rFonts w:ascii="Times New Roman" w:eastAsia="Times New Roman" w:hAnsi="Times New Roman" w:cs="Times New Roman"/>
        </w:rPr>
        <w:t xml:space="preserve"> </w:t>
      </w:r>
      <w:r w:rsidR="00B76EFD">
        <w:rPr>
          <w:rFonts w:eastAsia="Arial"/>
        </w:rPr>
        <w:t xml:space="preserve">F24 </w:t>
      </w:r>
      <w:r w:rsidRPr="2C28EFC5">
        <w:rPr>
          <w:rFonts w:eastAsia="Arial"/>
        </w:rPr>
        <w:t>A</w:t>
      </w:r>
      <w:r w:rsidR="00812175">
        <w:rPr>
          <w:rFonts w:eastAsia="Arial"/>
        </w:rPr>
        <w:t>cademic Senate for California Community Colleges</w:t>
      </w:r>
      <w:r w:rsidRPr="2C28EFC5">
        <w:rPr>
          <w:rFonts w:eastAsia="Arial"/>
        </w:rPr>
        <w:t xml:space="preserve"> Bylaws Revision</w:t>
      </w:r>
      <w:bookmarkEnd w:id="22"/>
    </w:p>
    <w:p w14:paraId="695EA32D" w14:textId="59DBB912" w:rsidR="00BB5A80" w:rsidRPr="00BB5A80" w:rsidRDefault="00BB5A80" w:rsidP="00BB5A80">
      <w:pPr>
        <w:spacing w:before="240" w:after="240"/>
        <w:rPr>
          <w:rFonts w:cstheme="minorHAnsi"/>
        </w:rPr>
      </w:pPr>
      <w:r w:rsidRPr="00BB5A80">
        <w:rPr>
          <w:rFonts w:eastAsia="Arial" w:cstheme="minorHAnsi"/>
          <w:szCs w:val="22"/>
        </w:rPr>
        <w:t xml:space="preserve">Whereas, The Academic Senate for California Community Colleges (ASCCC) is a 501(c)(6) nonprofit organization that is required to follow nonprofit laws and California Corporations Code, and the ASCCC </w:t>
      </w:r>
      <w:r w:rsidR="00C804B5">
        <w:rPr>
          <w:rFonts w:eastAsia="Arial" w:cstheme="minorHAnsi"/>
          <w:szCs w:val="22"/>
        </w:rPr>
        <w:t>B</w:t>
      </w:r>
      <w:r w:rsidRPr="00BB5A80">
        <w:rPr>
          <w:rFonts w:eastAsia="Arial" w:cstheme="minorHAnsi"/>
          <w:szCs w:val="22"/>
        </w:rPr>
        <w:t>ylaws serve as a foundational legal document that outlines the structure of the organization and provides an operational framework to comply with those laws;</w:t>
      </w:r>
    </w:p>
    <w:p w14:paraId="6EA6D6E7" w14:textId="391637BB" w:rsidR="00BB5A80" w:rsidRPr="00BB5A80" w:rsidRDefault="00BB5A80" w:rsidP="00BB5A80">
      <w:pPr>
        <w:spacing w:before="240" w:after="240"/>
        <w:rPr>
          <w:rFonts w:cstheme="minorHAnsi"/>
        </w:rPr>
      </w:pPr>
      <w:r w:rsidRPr="00BB5A80">
        <w:rPr>
          <w:rFonts w:eastAsia="Arial" w:cstheme="minorHAnsi"/>
          <w:szCs w:val="22"/>
        </w:rPr>
        <w:t xml:space="preserve">Whereas, The Standards and Practices Committee was tasked to review the ASCCC </w:t>
      </w:r>
      <w:r w:rsidR="00C804B5">
        <w:rPr>
          <w:rFonts w:eastAsia="Arial" w:cstheme="minorHAnsi"/>
          <w:szCs w:val="22"/>
        </w:rPr>
        <w:t>B</w:t>
      </w:r>
      <w:r w:rsidRPr="00BB5A80">
        <w:rPr>
          <w:rFonts w:eastAsia="Arial" w:cstheme="minorHAnsi"/>
          <w:szCs w:val="22"/>
        </w:rPr>
        <w:t>ylaws</w:t>
      </w:r>
      <w:r w:rsidR="009A18FE">
        <w:rPr>
          <w:rFonts w:eastAsia="Arial" w:cstheme="minorHAnsi"/>
          <w:szCs w:val="22"/>
        </w:rPr>
        <w:t xml:space="preserve"> in 2022</w:t>
      </w:r>
      <w:r w:rsidRPr="00BB5A80">
        <w:rPr>
          <w:rFonts w:eastAsia="Arial" w:cstheme="minorHAnsi"/>
          <w:szCs w:val="22"/>
        </w:rPr>
        <w:t xml:space="preserve">, in consultation with legal counsel, to ensure that they were consistent with previously adopted resolutions, </w:t>
      </w:r>
      <w:r w:rsidR="009A18FE">
        <w:rPr>
          <w:rFonts w:eastAsia="Arial" w:cstheme="minorHAnsi"/>
          <w:szCs w:val="22"/>
        </w:rPr>
        <w:t xml:space="preserve">incorporated practices enacted since the COVID pandemic, </w:t>
      </w:r>
      <w:r w:rsidRPr="00BB5A80">
        <w:rPr>
          <w:rFonts w:eastAsia="Arial" w:cstheme="minorHAnsi"/>
          <w:szCs w:val="22"/>
        </w:rPr>
        <w:t>clarified language throughout to distinguish local academic senates from the ASCCC, clarified the language pertaining to the relationship of the ASCCC Executive Director to the ASCCC Board of Directors, moved duties and responsibilities of Board officers to the ASCCC Rules document, and specify the threshold necessary for the ASCCC Rules to be changed by resolution at an ASCCC Plenary Session</w:t>
      </w:r>
      <w:r w:rsidR="00D551A9">
        <w:rPr>
          <w:rFonts w:eastAsia="Arial" w:cstheme="minorHAnsi"/>
          <w:szCs w:val="22"/>
        </w:rPr>
        <w:t>; and</w:t>
      </w:r>
    </w:p>
    <w:p w14:paraId="56CB8677" w14:textId="77777777" w:rsidR="001121CD" w:rsidRDefault="00BB5A80" w:rsidP="00BB5A80">
      <w:pPr>
        <w:spacing w:before="240" w:after="240"/>
        <w:rPr>
          <w:rFonts w:eastAsia="Arial" w:cstheme="minorHAnsi"/>
          <w:szCs w:val="22"/>
        </w:rPr>
      </w:pPr>
      <w:r w:rsidRPr="00BB5A80">
        <w:rPr>
          <w:rFonts w:eastAsia="Arial" w:cstheme="minorHAnsi"/>
          <w:szCs w:val="22"/>
        </w:rPr>
        <w:t xml:space="preserve">Whereas, The proposed revisions to the </w:t>
      </w:r>
      <w:r w:rsidR="00BC32DD">
        <w:rPr>
          <w:rFonts w:eastAsia="Arial" w:cstheme="minorHAnsi"/>
          <w:szCs w:val="22"/>
        </w:rPr>
        <w:t>ASCCC B</w:t>
      </w:r>
      <w:r w:rsidRPr="00BB5A80">
        <w:rPr>
          <w:rFonts w:eastAsia="Arial" w:cstheme="minorHAnsi"/>
          <w:szCs w:val="22"/>
        </w:rPr>
        <w:t xml:space="preserve">ylaws were approved by the Board of Directors at the June 2024 Executive Committee meeting, were distributed to member </w:t>
      </w:r>
      <w:r w:rsidR="00BC32DD">
        <w:rPr>
          <w:rFonts w:eastAsia="Arial" w:cstheme="minorHAnsi"/>
          <w:szCs w:val="22"/>
        </w:rPr>
        <w:t>a</w:t>
      </w:r>
      <w:r w:rsidRPr="00BB5A80">
        <w:rPr>
          <w:rFonts w:eastAsia="Arial" w:cstheme="minorHAnsi"/>
          <w:szCs w:val="22"/>
        </w:rPr>
        <w:t xml:space="preserve">cademic </w:t>
      </w:r>
      <w:r w:rsidR="00BC32DD">
        <w:rPr>
          <w:rFonts w:eastAsia="Arial" w:cstheme="minorHAnsi"/>
          <w:szCs w:val="22"/>
        </w:rPr>
        <w:t>s</w:t>
      </w:r>
      <w:r w:rsidRPr="00BB5A80">
        <w:rPr>
          <w:rFonts w:eastAsia="Arial" w:cstheme="minorHAnsi"/>
          <w:szCs w:val="22"/>
        </w:rPr>
        <w:t xml:space="preserve">enates in advance of the Fall 2024 pre-plenary session area meetings, and were discussed during a breakout at the </w:t>
      </w:r>
      <w:r w:rsidR="00497FA9">
        <w:rPr>
          <w:rFonts w:eastAsia="Arial" w:cstheme="minorHAnsi"/>
          <w:szCs w:val="22"/>
        </w:rPr>
        <w:t xml:space="preserve">ASCCC </w:t>
      </w:r>
      <w:r w:rsidRPr="00BB5A80">
        <w:rPr>
          <w:rFonts w:eastAsia="Arial" w:cstheme="minorHAnsi"/>
          <w:szCs w:val="22"/>
        </w:rPr>
        <w:t>Fall 2024 Plenary Session;</w:t>
      </w:r>
    </w:p>
    <w:p w14:paraId="40E84460" w14:textId="244633B0" w:rsidR="00BB5A80" w:rsidRPr="001121CD" w:rsidRDefault="00BB5A80" w:rsidP="00BB5A80">
      <w:pPr>
        <w:spacing w:before="240" w:after="240"/>
        <w:rPr>
          <w:rFonts w:eastAsia="Arial" w:cstheme="minorHAnsi"/>
          <w:szCs w:val="22"/>
        </w:rPr>
      </w:pPr>
      <w:r w:rsidRPr="00BB5A80">
        <w:rPr>
          <w:rFonts w:eastAsia="Arial" w:cstheme="minorHAnsi"/>
          <w:szCs w:val="22"/>
        </w:rPr>
        <w:t xml:space="preserve">Resolved, That the Academic Senate for California Community Colleges adopt the revised </w:t>
      </w:r>
      <w:r w:rsidR="00497FA9">
        <w:rPr>
          <w:rFonts w:eastAsia="Arial" w:cstheme="minorHAnsi"/>
          <w:szCs w:val="22"/>
        </w:rPr>
        <w:t>ASCCC</w:t>
      </w:r>
      <w:r w:rsidRPr="00BB5A80">
        <w:rPr>
          <w:rFonts w:eastAsia="Arial" w:cstheme="minorHAnsi"/>
          <w:szCs w:val="22"/>
        </w:rPr>
        <w:t xml:space="preserve"> Bylaws</w:t>
      </w:r>
      <w:hyperlink r:id="rId31" w:history="1">
        <w:r w:rsidR="00497FA9" w:rsidRPr="003C53D5">
          <w:rPr>
            <w:rStyle w:val="Hyperlink"/>
            <w:rFonts w:eastAsia="Arial" w:cstheme="minorHAnsi"/>
            <w:sz w:val="20"/>
            <w:szCs w:val="22"/>
            <w:vertAlign w:val="superscript"/>
          </w:rPr>
          <w:footnoteReference w:id="14"/>
        </w:r>
      </w:hyperlink>
      <w:r w:rsidRPr="00BB5A80">
        <w:rPr>
          <w:rFonts w:eastAsia="Arial" w:cstheme="minorHAnsi"/>
          <w:szCs w:val="22"/>
        </w:rPr>
        <w:t xml:space="preserve"> and that the revised </w:t>
      </w:r>
      <w:r w:rsidR="00497FA9">
        <w:rPr>
          <w:rFonts w:eastAsia="Arial" w:cstheme="minorHAnsi"/>
          <w:szCs w:val="22"/>
        </w:rPr>
        <w:t>ASCCC B</w:t>
      </w:r>
      <w:r w:rsidRPr="00BB5A80">
        <w:rPr>
          <w:rFonts w:eastAsia="Arial" w:cstheme="minorHAnsi"/>
          <w:szCs w:val="22"/>
        </w:rPr>
        <w:t>ylaws take effect immediately following their approval.</w:t>
      </w:r>
    </w:p>
    <w:p w14:paraId="75024001" w14:textId="77777777" w:rsidR="00BB5A80" w:rsidRPr="00BB5A80" w:rsidRDefault="00BB5A80" w:rsidP="00BB5A80">
      <w:pPr>
        <w:spacing w:after="0" w:line="480" w:lineRule="auto"/>
        <w:rPr>
          <w:rFonts w:cstheme="minorHAnsi"/>
        </w:rPr>
      </w:pPr>
      <w:r w:rsidRPr="00BB5A80">
        <w:rPr>
          <w:rFonts w:eastAsia="Times New Roman" w:cstheme="minorHAnsi"/>
        </w:rPr>
        <w:t>Contact: Christopher Howerton, ASCCC Executive Committee</w:t>
      </w:r>
    </w:p>
    <w:p w14:paraId="17D941C1" w14:textId="77777777" w:rsidR="00927A48" w:rsidRPr="00927A48" w:rsidRDefault="00927A48" w:rsidP="00927A48">
      <w:pPr>
        <w:spacing w:after="0" w:line="480" w:lineRule="auto"/>
        <w:rPr>
          <w:rFonts w:cstheme="minorHAnsi"/>
        </w:rPr>
      </w:pPr>
    </w:p>
    <w:p w14:paraId="226D0E85" w14:textId="77777777" w:rsidR="00CC1EF9" w:rsidRDefault="00CC1EF9" w:rsidP="00851B7D">
      <w:pPr>
        <w:spacing w:after="0"/>
        <w:rPr>
          <w:rFonts w:cstheme="minorHAnsi"/>
        </w:rPr>
      </w:pPr>
    </w:p>
    <w:p w14:paraId="302D1472" w14:textId="77777777" w:rsidR="00E37251" w:rsidRDefault="00E37251" w:rsidP="00851B7D">
      <w:pPr>
        <w:spacing w:after="0"/>
        <w:rPr>
          <w:rFonts w:cstheme="minorHAnsi"/>
        </w:rPr>
      </w:pPr>
    </w:p>
    <w:p w14:paraId="3C10E142" w14:textId="77777777" w:rsidR="00E37251" w:rsidRDefault="00E37251" w:rsidP="00851B7D">
      <w:pPr>
        <w:spacing w:after="0"/>
        <w:rPr>
          <w:rFonts w:cstheme="minorHAnsi"/>
        </w:rPr>
      </w:pPr>
    </w:p>
    <w:p w14:paraId="3310BA9E" w14:textId="77777777" w:rsidR="00E37251" w:rsidRDefault="00E37251" w:rsidP="00851B7D">
      <w:pPr>
        <w:spacing w:after="0"/>
        <w:rPr>
          <w:rFonts w:cstheme="minorHAnsi"/>
        </w:rPr>
      </w:pPr>
    </w:p>
    <w:p w14:paraId="5CA7458A" w14:textId="77777777" w:rsidR="00E37251" w:rsidRDefault="00E37251" w:rsidP="00851B7D">
      <w:pPr>
        <w:spacing w:after="0"/>
        <w:rPr>
          <w:rFonts w:cstheme="minorHAnsi"/>
        </w:rPr>
      </w:pPr>
    </w:p>
    <w:p w14:paraId="27FFDE35" w14:textId="77777777" w:rsidR="00E37251" w:rsidRDefault="00E37251" w:rsidP="00851B7D">
      <w:pPr>
        <w:spacing w:after="0"/>
        <w:rPr>
          <w:rFonts w:cstheme="minorHAnsi"/>
        </w:rPr>
      </w:pPr>
    </w:p>
    <w:p w14:paraId="1F8598DE" w14:textId="77777777" w:rsidR="00E37251" w:rsidRDefault="00E37251" w:rsidP="00851B7D">
      <w:pPr>
        <w:spacing w:after="0"/>
        <w:rPr>
          <w:rFonts w:cstheme="minorHAnsi"/>
        </w:rPr>
      </w:pPr>
    </w:p>
    <w:p w14:paraId="4FDA9BB0" w14:textId="77777777" w:rsidR="00E37251" w:rsidRPr="00851B7D" w:rsidRDefault="00E37251" w:rsidP="00851B7D">
      <w:pPr>
        <w:spacing w:after="0"/>
        <w:rPr>
          <w:rFonts w:cstheme="minorHAnsi"/>
        </w:rPr>
      </w:pPr>
    </w:p>
    <w:bookmarkEnd w:id="20"/>
    <w:p w14:paraId="1D7BD066" w14:textId="77777777" w:rsidR="004F1ECC" w:rsidRPr="008F3D85" w:rsidRDefault="004F1ECC" w:rsidP="008A032B">
      <w:pPr>
        <w:pStyle w:val="Footer"/>
        <w:spacing w:before="1600"/>
        <w:jc w:val="center"/>
        <w:rPr>
          <w:color w:val="767171" w:themeColor="background2" w:themeShade="80"/>
        </w:rPr>
      </w:pPr>
      <w:r w:rsidRPr="008F3D85">
        <w:rPr>
          <w:color w:val="767171" w:themeColor="background2" w:themeShade="80"/>
        </w:rPr>
        <w:t>Academic Senate for California Community Colleges</w:t>
      </w:r>
    </w:p>
    <w:p w14:paraId="31F6A69B" w14:textId="77777777" w:rsidR="001B1B78" w:rsidRPr="008F3D85" w:rsidRDefault="004F1ECC" w:rsidP="008A032B">
      <w:pPr>
        <w:pStyle w:val="Footer"/>
        <w:jc w:val="center"/>
        <w:rPr>
          <w:color w:val="767171" w:themeColor="background2" w:themeShade="80"/>
        </w:rPr>
      </w:pPr>
      <w:r w:rsidRPr="008F3D85">
        <w:rPr>
          <w:color w:val="767171" w:themeColor="background2" w:themeShade="80"/>
        </w:rPr>
        <w:t>One Capitol Mall, Suite 230 Sacramento, CA 95814</w:t>
      </w:r>
      <w:r w:rsidR="008A032B">
        <w:rPr>
          <w:i/>
          <w:iCs/>
          <w:color w:val="767171" w:themeColor="background2" w:themeShade="80"/>
        </w:rPr>
        <w:br/>
      </w:r>
      <w:r w:rsidRPr="008F3D85">
        <w:rPr>
          <w:color w:val="767171" w:themeColor="background2" w:themeShade="80"/>
        </w:rPr>
        <w:t xml:space="preserve"> (916) 445-4753</w:t>
      </w:r>
      <w:r w:rsidRPr="008F3D85">
        <w:rPr>
          <w:i/>
          <w:iCs/>
          <w:color w:val="767171" w:themeColor="background2" w:themeShade="80"/>
        </w:rPr>
        <w:t> </w:t>
      </w:r>
      <w:hyperlink r:id="rId32" w:history="1">
        <w:r w:rsidRPr="008F3D85">
          <w:rPr>
            <w:rStyle w:val="Hyperlink"/>
            <w:i/>
            <w:iCs/>
            <w:color w:val="767171" w:themeColor="background2" w:themeShade="80"/>
          </w:rPr>
          <w:t>info@asccc.org</w:t>
        </w:r>
      </w:hyperlink>
      <w:r w:rsidRPr="008F3D85">
        <w:rPr>
          <w:i/>
          <w:iCs/>
          <w:color w:val="767171" w:themeColor="background2" w:themeShade="80"/>
        </w:rPr>
        <w:t> </w:t>
      </w:r>
      <w:hyperlink r:id="rId33" w:history="1">
        <w:r w:rsidRPr="008F3D85">
          <w:rPr>
            <w:rStyle w:val="Hyperlink"/>
            <w:i/>
            <w:iCs/>
            <w:color w:val="767171" w:themeColor="background2" w:themeShade="80"/>
          </w:rPr>
          <w:t>www.asccc.org</w:t>
        </w:r>
      </w:hyperlink>
    </w:p>
    <w:sectPr w:rsidR="001B1B78" w:rsidRPr="008F3D85" w:rsidSect="00365492">
      <w:footerReference w:type="first" r:id="rId34"/>
      <w:pgSz w:w="12240" w:h="15840"/>
      <w:pgMar w:top="1008" w:right="1080" w:bottom="533" w:left="1080" w:header="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F283" w14:textId="77777777" w:rsidR="00F200D0" w:rsidRDefault="00F200D0" w:rsidP="000B0D59">
      <w:r>
        <w:separator/>
      </w:r>
    </w:p>
  </w:endnote>
  <w:endnote w:type="continuationSeparator" w:id="0">
    <w:p w14:paraId="0B92BB38" w14:textId="77777777" w:rsidR="00F200D0" w:rsidRDefault="00F200D0" w:rsidP="000B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Body)">
    <w:altName w:val="Calibri"/>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4D"/>
    <w:family w:val="swiss"/>
    <w:pitch w:val="variable"/>
    <w:sig w:usb0="800000AF" w:usb1="4000604A" w:usb2="00000000" w:usb3="00000000" w:csb0="00000093" w:csb1="00000000"/>
  </w:font>
  <w:font w:name="Gill Sans MT">
    <w:panose1 w:val="020B0502020104020203"/>
    <w:charset w:val="4D"/>
    <w:family w:val="swiss"/>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4549915"/>
      <w:docPartObj>
        <w:docPartGallery w:val="Page Numbers (Bottom of Page)"/>
        <w:docPartUnique/>
      </w:docPartObj>
    </w:sdtPr>
    <w:sdtContent>
      <w:p w14:paraId="506AC365" w14:textId="77777777" w:rsidR="00C136C5" w:rsidRDefault="00C136C5" w:rsidP="00D430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6E49E" w14:textId="77777777" w:rsidR="00C136C5" w:rsidRDefault="00C136C5" w:rsidP="00C136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6934245"/>
      <w:docPartObj>
        <w:docPartGallery w:val="Page Numbers (Bottom of Page)"/>
        <w:docPartUnique/>
      </w:docPartObj>
    </w:sdtPr>
    <w:sdtContent>
      <w:p w14:paraId="43DA59BA" w14:textId="77777777" w:rsidR="00C136C5" w:rsidRDefault="00C136C5" w:rsidP="00D430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AB10B7D" w14:textId="77777777" w:rsidR="00C136C5" w:rsidRDefault="00C136C5" w:rsidP="00C136C5">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7955175"/>
      <w:docPartObj>
        <w:docPartGallery w:val="Page Numbers (Bottom of Page)"/>
        <w:docPartUnique/>
      </w:docPartObj>
    </w:sdtPr>
    <w:sdtContent>
      <w:p w14:paraId="13194095" w14:textId="77777777" w:rsidR="00C136C5" w:rsidRDefault="00C136C5" w:rsidP="00D430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CF53BE" w14:textId="77777777" w:rsidR="00365492" w:rsidRDefault="00365492" w:rsidP="00C136C5">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CF64" w14:textId="77777777" w:rsidR="00F200D0" w:rsidRDefault="00F200D0" w:rsidP="00AF2E2B">
      <w:pPr>
        <w:spacing w:before="300"/>
      </w:pPr>
      <w:r>
        <w:separator/>
      </w:r>
    </w:p>
  </w:footnote>
  <w:footnote w:type="continuationSeparator" w:id="0">
    <w:p w14:paraId="6CC1E4A0" w14:textId="77777777" w:rsidR="00F200D0" w:rsidRDefault="00F200D0" w:rsidP="000B0D59">
      <w:r>
        <w:continuationSeparator/>
      </w:r>
    </w:p>
  </w:footnote>
  <w:footnote w:id="1">
    <w:p w14:paraId="66C933EF" w14:textId="5E628D25" w:rsidR="00A42FD4" w:rsidRDefault="00A42FD4">
      <w:pPr>
        <w:pStyle w:val="FootnoteText"/>
      </w:pPr>
      <w:r>
        <w:rPr>
          <w:rStyle w:val="FootnoteReference"/>
        </w:rPr>
        <w:footnoteRef/>
      </w:r>
      <w:r>
        <w:t xml:space="preserve"> </w:t>
      </w:r>
      <w:r w:rsidR="008819F0" w:rsidRPr="2C28EFC5">
        <w:rPr>
          <w:rFonts w:ascii="Calibri" w:eastAsia="Calibri" w:hAnsi="Calibri" w:cs="Calibri"/>
        </w:rPr>
        <w:t xml:space="preserve">Title 5 §55002:  </w:t>
      </w:r>
      <w:hyperlink r:id="rId1">
        <w:r w:rsidR="008819F0" w:rsidRPr="2C28EFC5">
          <w:rPr>
            <w:rStyle w:val="Hyperlink"/>
            <w:rFonts w:ascii="Calibri" w:eastAsia="Calibri" w:hAnsi="Calibri" w:cs="Calibri"/>
            <w:color w:val="0000FF"/>
          </w:rPr>
          <w:t>https://govt.westlaw.com/calregs/Document/I61F3AFC34C6911EC93A8000D3A7C4BC3?viewType=FullText&amp;originationContext=documenttoc&amp;transitionType=CategoryPageItem&amp;contextData=(sc.Default)</w:t>
        </w:r>
      </w:hyperlink>
    </w:p>
  </w:footnote>
  <w:footnote w:id="2">
    <w:p w14:paraId="633DCBB6" w14:textId="79761C1D" w:rsidR="000D1A21" w:rsidRDefault="000D1A21">
      <w:pPr>
        <w:pStyle w:val="FootnoteText"/>
      </w:pPr>
      <w:r>
        <w:rPr>
          <w:rStyle w:val="FootnoteReference"/>
        </w:rPr>
        <w:footnoteRef/>
      </w:r>
      <w:r>
        <w:t xml:space="preserve"> </w:t>
      </w:r>
      <w:r w:rsidR="000B251C" w:rsidRPr="2C28EFC5">
        <w:rPr>
          <w:rFonts w:ascii="Calibri" w:eastAsia="Calibri" w:hAnsi="Calibri" w:cs="Calibri"/>
        </w:rPr>
        <w:t xml:space="preserve">ACCJC 2024 Standards with Review Criteria and Suggested Evidence: </w:t>
      </w:r>
      <w:hyperlink r:id="rId2">
        <w:r w:rsidR="000B251C" w:rsidRPr="2C28EFC5">
          <w:rPr>
            <w:rStyle w:val="Hyperlink"/>
            <w:rFonts w:ascii="Calibri" w:eastAsia="Calibri" w:hAnsi="Calibri" w:cs="Calibri"/>
            <w:color w:val="0000FF"/>
          </w:rPr>
          <w:t>https://accjc.org/wp-content/uploads/ACCJC-2024-Accreditation-Standards-with-Review-Criteria-Evidence.pdf</w:t>
        </w:r>
      </w:hyperlink>
    </w:p>
  </w:footnote>
  <w:footnote w:id="3">
    <w:p w14:paraId="79B8FC55" w14:textId="5650DCF7" w:rsidR="00305543" w:rsidRDefault="00305543">
      <w:pPr>
        <w:pStyle w:val="FootnoteText"/>
      </w:pPr>
      <w:r>
        <w:rPr>
          <w:rStyle w:val="FootnoteReference"/>
        </w:rPr>
        <w:footnoteRef/>
      </w:r>
      <w:r>
        <w:t xml:space="preserve"> </w:t>
      </w:r>
      <w:r w:rsidR="00EE60F7" w:rsidRPr="2C28EFC5">
        <w:rPr>
          <w:rFonts w:ascii="Calibri" w:eastAsia="Calibri" w:hAnsi="Calibri" w:cs="Calibri"/>
        </w:rPr>
        <w:t xml:space="preserve">WSCUS Standards of Accreditation: </w:t>
      </w:r>
      <w:hyperlink r:id="rId3" w:anchor="standards-of-accreditation">
        <w:r w:rsidR="00EE60F7" w:rsidRPr="2C28EFC5">
          <w:rPr>
            <w:rStyle w:val="Hyperlink"/>
            <w:rFonts w:ascii="Calibri" w:eastAsia="Calibri" w:hAnsi="Calibri" w:cs="Calibri"/>
            <w:color w:val="0000FF"/>
          </w:rPr>
          <w:t>https://www.wscuc.org/handbook2023/#standards-of-accreditation</w:t>
        </w:r>
      </w:hyperlink>
    </w:p>
  </w:footnote>
  <w:footnote w:id="4">
    <w:p w14:paraId="6A85EAAB" w14:textId="0565296E" w:rsidR="00DC2990" w:rsidRDefault="00DC2990">
      <w:pPr>
        <w:pStyle w:val="FootnoteText"/>
      </w:pPr>
      <w:r>
        <w:rPr>
          <w:rStyle w:val="FootnoteReference"/>
        </w:rPr>
        <w:footnoteRef/>
      </w:r>
      <w:r>
        <w:t xml:space="preserve"> </w:t>
      </w:r>
      <w:hyperlink r:id="rId4" w:history="1">
        <w:r w:rsidR="00787965" w:rsidRPr="00647C7F">
          <w:rPr>
            <w:rStyle w:val="Hyperlink"/>
          </w:rPr>
          <w:t>https://govt.westlaw.com/calregs/Document/I628AE6B34C6911EC93A8000D3A7C4BC3?viewType=FullText&amp;originationContext=documenttoc&amp;transitionType=CategoryPageItem&amp;contextData=(sc.Default)&amp;bhcp=1</w:t>
        </w:r>
      </w:hyperlink>
      <w:r w:rsidR="00787965">
        <w:t xml:space="preserve"> </w:t>
      </w:r>
    </w:p>
  </w:footnote>
  <w:footnote w:id="5">
    <w:p w14:paraId="42EF103E" w14:textId="1FC29E37" w:rsidR="003E7915" w:rsidRPr="009D4419" w:rsidRDefault="003E7915">
      <w:pPr>
        <w:pStyle w:val="FootnoteText"/>
        <w:rPr>
          <w:lang w:val="es-ES"/>
        </w:rPr>
      </w:pPr>
      <w:r>
        <w:rPr>
          <w:rStyle w:val="FootnoteReference"/>
        </w:rPr>
        <w:footnoteRef/>
      </w:r>
      <w:r w:rsidRPr="009D4419">
        <w:rPr>
          <w:lang w:val="es-ES"/>
        </w:rPr>
        <w:t xml:space="preserve"> ibid</w:t>
      </w:r>
    </w:p>
  </w:footnote>
  <w:footnote w:id="6">
    <w:p w14:paraId="0A6324F7" w14:textId="7C1A83B4" w:rsidR="00812A8A" w:rsidRPr="009D4419" w:rsidRDefault="00812A8A">
      <w:pPr>
        <w:pStyle w:val="FootnoteText"/>
        <w:rPr>
          <w:lang w:val="es-ES"/>
        </w:rPr>
      </w:pPr>
      <w:r>
        <w:rPr>
          <w:rStyle w:val="FootnoteReference"/>
        </w:rPr>
        <w:footnoteRef/>
      </w:r>
      <w:r w:rsidRPr="009D4419">
        <w:rPr>
          <w:lang w:val="es-ES"/>
        </w:rPr>
        <w:t xml:space="preserve"> </w:t>
      </w:r>
      <w:hyperlink r:id="rId5" w:history="1">
        <w:r w:rsidR="0013412B" w:rsidRPr="009D4419">
          <w:rPr>
            <w:rStyle w:val="Hyperlink"/>
            <w:lang w:val="es-ES"/>
          </w:rPr>
          <w:t>https://govt.westlaw.com/calregs/Document/I604256434C6911EC93A8000D3A7C4BC3?viewType=FullText&amp;originationContext=documenttoc&amp;transitionType=CategoryPageItem&amp;contextData=(sc.Default)</w:t>
        </w:r>
      </w:hyperlink>
      <w:r w:rsidR="0013412B" w:rsidRPr="009D4419">
        <w:rPr>
          <w:lang w:val="es-ES"/>
        </w:rPr>
        <w:t xml:space="preserve"> </w:t>
      </w:r>
    </w:p>
  </w:footnote>
  <w:footnote w:id="7">
    <w:p w14:paraId="622AF5EC" w14:textId="391B1749" w:rsidR="00FE7D76" w:rsidRPr="009D4419" w:rsidRDefault="00FE7D76">
      <w:pPr>
        <w:pStyle w:val="FootnoteText"/>
        <w:rPr>
          <w:lang w:val="es-ES"/>
        </w:rPr>
      </w:pPr>
      <w:r>
        <w:rPr>
          <w:rStyle w:val="FootnoteReference"/>
        </w:rPr>
        <w:footnoteRef/>
      </w:r>
      <w:r w:rsidRPr="009D4419">
        <w:rPr>
          <w:lang w:val="es-ES"/>
        </w:rPr>
        <w:t xml:space="preserve"> </w:t>
      </w:r>
      <w:hyperlink r:id="rId6" w:history="1">
        <w:r w:rsidR="00F260A4" w:rsidRPr="009D4419">
          <w:rPr>
            <w:rStyle w:val="Hyperlink"/>
            <w:lang w:val="es-ES"/>
          </w:rPr>
          <w:t>https://www.cccstudentmentalhealth.org/</w:t>
        </w:r>
      </w:hyperlink>
      <w:r w:rsidR="00F260A4" w:rsidRPr="009D4419">
        <w:rPr>
          <w:lang w:val="es-ES"/>
        </w:rPr>
        <w:t xml:space="preserve"> </w:t>
      </w:r>
    </w:p>
  </w:footnote>
  <w:footnote w:id="8">
    <w:p w14:paraId="5CFB3D4A" w14:textId="10B14459" w:rsidR="008C3674" w:rsidRPr="009D4419" w:rsidRDefault="008C3674">
      <w:pPr>
        <w:pStyle w:val="FootnoteText"/>
        <w:rPr>
          <w:lang w:val="es-ES"/>
        </w:rPr>
      </w:pPr>
      <w:r>
        <w:rPr>
          <w:rStyle w:val="FootnoteReference"/>
        </w:rPr>
        <w:footnoteRef/>
      </w:r>
      <w:r w:rsidRPr="009D4419">
        <w:rPr>
          <w:lang w:val="es-ES"/>
        </w:rPr>
        <w:t xml:space="preserve"> </w:t>
      </w:r>
      <w:hyperlink r:id="rId7" w:history="1">
        <w:r w:rsidR="00EB1C4A" w:rsidRPr="009D4419">
          <w:rPr>
            <w:rStyle w:val="Hyperlink"/>
            <w:lang w:val="es-ES"/>
          </w:rPr>
          <w:t>https://codes.findlaw.com/ca/education-code/edc-sect-78213/</w:t>
        </w:r>
      </w:hyperlink>
      <w:r w:rsidR="00EB1C4A" w:rsidRPr="009D4419">
        <w:rPr>
          <w:lang w:val="es-ES"/>
        </w:rPr>
        <w:t xml:space="preserve"> </w:t>
      </w:r>
    </w:p>
  </w:footnote>
  <w:footnote w:id="9">
    <w:p w14:paraId="4F01BEEC" w14:textId="645504BE" w:rsidR="002335B7" w:rsidRPr="009D4419" w:rsidRDefault="002335B7">
      <w:pPr>
        <w:pStyle w:val="FootnoteText"/>
        <w:rPr>
          <w:lang w:val="es-ES"/>
        </w:rPr>
      </w:pPr>
      <w:r>
        <w:rPr>
          <w:rStyle w:val="FootnoteReference"/>
        </w:rPr>
        <w:footnoteRef/>
      </w:r>
      <w:r w:rsidRPr="009D4419">
        <w:rPr>
          <w:lang w:val="es-ES"/>
        </w:rPr>
        <w:t xml:space="preserve"> </w:t>
      </w:r>
      <w:hyperlink r:id="rId8" w:history="1">
        <w:r w:rsidRPr="009D4419">
          <w:rPr>
            <w:rStyle w:val="Hyperlink"/>
            <w:lang w:val="es-ES"/>
          </w:rPr>
          <w:t>https://legiscan.com/CA/text/AB1705/id/2609099</w:t>
        </w:r>
      </w:hyperlink>
      <w:r w:rsidRPr="009D4419">
        <w:rPr>
          <w:lang w:val="es-ES"/>
        </w:rPr>
        <w:t xml:space="preserve"> </w:t>
      </w:r>
    </w:p>
  </w:footnote>
  <w:footnote w:id="10">
    <w:p w14:paraId="0C69203E" w14:textId="53F3CFEE" w:rsidR="00CD6BBB" w:rsidRPr="009D4419" w:rsidRDefault="00CD6BBB">
      <w:pPr>
        <w:pStyle w:val="FootnoteText"/>
        <w:rPr>
          <w:lang w:val="es-ES"/>
        </w:rPr>
      </w:pPr>
      <w:r>
        <w:rPr>
          <w:rStyle w:val="FootnoteReference"/>
        </w:rPr>
        <w:footnoteRef/>
      </w:r>
      <w:r w:rsidRPr="009D4419">
        <w:rPr>
          <w:lang w:val="es-ES"/>
        </w:rPr>
        <w:t xml:space="preserve"> </w:t>
      </w:r>
      <w:hyperlink r:id="rId9" w:history="1">
        <w:r w:rsidRPr="009D4419">
          <w:rPr>
            <w:rStyle w:val="Hyperlink"/>
            <w:lang w:val="es-ES"/>
          </w:rPr>
          <w:t>https://www.cccco.edu/College-Professionals/Guided-Pathways</w:t>
        </w:r>
      </w:hyperlink>
      <w:r w:rsidRPr="009D4419">
        <w:rPr>
          <w:lang w:val="es-ES"/>
        </w:rPr>
        <w:t xml:space="preserve"> </w:t>
      </w:r>
    </w:p>
  </w:footnote>
  <w:footnote w:id="11">
    <w:p w14:paraId="4CF4FA36" w14:textId="3EBF6B7F" w:rsidR="00FC0036" w:rsidRPr="009D4419" w:rsidRDefault="00FC0036">
      <w:pPr>
        <w:pStyle w:val="FootnoteText"/>
        <w:rPr>
          <w:lang w:val="es-ES"/>
        </w:rPr>
      </w:pPr>
      <w:r>
        <w:rPr>
          <w:rStyle w:val="FootnoteReference"/>
        </w:rPr>
        <w:footnoteRef/>
      </w:r>
      <w:r w:rsidRPr="009D4419">
        <w:rPr>
          <w:lang w:val="es-ES"/>
        </w:rPr>
        <w:t xml:space="preserve"> </w:t>
      </w:r>
      <w:hyperlink r:id="rId10" w:history="1">
        <w:r w:rsidR="00F679DE" w:rsidRPr="009D4419">
          <w:rPr>
            <w:rStyle w:val="Hyperlink"/>
            <w:lang w:val="es-ES"/>
          </w:rPr>
          <w:t>https://www.cccco.edu/About-Us/Vision-2030</w:t>
        </w:r>
      </w:hyperlink>
      <w:r w:rsidR="00F679DE" w:rsidRPr="009D4419">
        <w:rPr>
          <w:lang w:val="es-ES"/>
        </w:rPr>
        <w:t xml:space="preserve"> </w:t>
      </w:r>
    </w:p>
  </w:footnote>
  <w:footnote w:id="12">
    <w:p w14:paraId="74BD58BC" w14:textId="15E4F924" w:rsidR="00C9649F" w:rsidRPr="009D4419" w:rsidRDefault="00C9649F">
      <w:pPr>
        <w:pStyle w:val="FootnoteText"/>
        <w:rPr>
          <w:lang w:val="es-ES"/>
        </w:rPr>
      </w:pPr>
      <w:r>
        <w:rPr>
          <w:rStyle w:val="FootnoteReference"/>
        </w:rPr>
        <w:footnoteRef/>
      </w:r>
      <w:r w:rsidRPr="009D4419">
        <w:rPr>
          <w:lang w:val="es-ES"/>
        </w:rPr>
        <w:t xml:space="preserve"> </w:t>
      </w:r>
      <w:hyperlink r:id="rId11" w:history="1">
        <w:r w:rsidR="007C7CEA" w:rsidRPr="009D4419">
          <w:rPr>
            <w:rStyle w:val="Hyperlink"/>
            <w:lang w:val="es-ES"/>
          </w:rPr>
          <w:t>https://www.asccc.org/sites/default/files/CounselingS12_0.pdf</w:t>
        </w:r>
      </w:hyperlink>
      <w:r w:rsidR="007C7CEA" w:rsidRPr="009D4419">
        <w:rPr>
          <w:lang w:val="es-ES"/>
        </w:rPr>
        <w:t xml:space="preserve"> </w:t>
      </w:r>
    </w:p>
  </w:footnote>
  <w:footnote w:id="13">
    <w:p w14:paraId="4911B712" w14:textId="7818A343" w:rsidR="00D947D3" w:rsidRPr="009D4419" w:rsidRDefault="00D947D3">
      <w:pPr>
        <w:pStyle w:val="FootnoteText"/>
        <w:rPr>
          <w:lang w:val="es-ES"/>
        </w:rPr>
      </w:pPr>
      <w:r>
        <w:rPr>
          <w:rStyle w:val="FootnoteReference"/>
        </w:rPr>
        <w:footnoteRef/>
      </w:r>
      <w:r w:rsidRPr="009D4419">
        <w:rPr>
          <w:lang w:val="es-ES"/>
        </w:rPr>
        <w:t xml:space="preserve"> </w:t>
      </w:r>
      <w:hyperlink r:id="rId12" w:history="1">
        <w:r w:rsidR="00DA2C56" w:rsidRPr="009D4419">
          <w:rPr>
            <w:rStyle w:val="Hyperlink"/>
            <w:lang w:val="es-ES"/>
          </w:rPr>
          <w:t>https://nam04.safelinks.protection.outlook.com/?url=https%3A%2F%2Fasccc.org%2Fsites%2Fdefault%2Ffiles%2F2024-10%2FASCCC%2520Rules%2520Carryover%2520Edits%2520and%2520New%2520Comments%2520Final.docx&amp;data=05%7C02%7Cstewarrl%40lasc.edu%7C52609c8c968b413bf4a208dce7e0b0b4%7C0b71261a495f4ea99911da844b9402ef%7C0%7C0%7C638640199930847197%7CUnknown%7CTWFpbGZsb3d8eyJWIjoiMC4wLjAwMDAiLCJQIjoiV2luMzIiLCJBTiI6Ik1haWwiLCJXVCI6Mn0%3D%7C0%7C%7C%7C&amp;sdata=3gAhUf0Y0AvcODiqcb16cKItIkyswwW6Te%2F2pAyIsVQ%3D&amp;reserved=0</w:t>
        </w:r>
      </w:hyperlink>
      <w:r w:rsidR="00DA2C56" w:rsidRPr="009D4419">
        <w:rPr>
          <w:lang w:val="es-ES"/>
        </w:rPr>
        <w:t xml:space="preserve"> </w:t>
      </w:r>
    </w:p>
  </w:footnote>
  <w:footnote w:id="14">
    <w:p w14:paraId="10507DC4" w14:textId="5BF15078" w:rsidR="00497FA9" w:rsidRPr="009D4419" w:rsidRDefault="00497FA9">
      <w:pPr>
        <w:pStyle w:val="FootnoteText"/>
        <w:rPr>
          <w:lang w:val="es-ES"/>
        </w:rPr>
      </w:pPr>
      <w:r>
        <w:rPr>
          <w:rStyle w:val="FootnoteReference"/>
        </w:rPr>
        <w:footnoteRef/>
      </w:r>
      <w:r w:rsidRPr="009D4419">
        <w:rPr>
          <w:lang w:val="es-ES"/>
        </w:rPr>
        <w:t xml:space="preserve"> </w:t>
      </w:r>
      <w:hyperlink r:id="rId13" w:history="1">
        <w:r w:rsidR="003C53D5" w:rsidRPr="009D4419">
          <w:rPr>
            <w:rStyle w:val="Hyperlink"/>
            <w:lang w:val="es-ES"/>
          </w:rPr>
          <w:t>https://nam04.safelinks.protection.outlook.com/?url=https%3A%2F%2Fasccc.org%2Fsites%2Fdefault%2Ffiles%2F2024-10%2FASCCC%2520Bylaws%2520Carryover%2520Edits%2520and%2520New%2520Comments%2520Final.docx&amp;data=05%7C02%7Cstewarrl%40lasc.edu%7C52609c8c968b413bf4a208dce7e0b0b4%7C0b71261a495f4ea99911da844b9402ef%7C0%7C0%7C638640199930825393%7CUnknown%7CTWFpbGZsb3d8eyJWIjoiMC4wLjAwMDAiLCJQIjoiV2luMzIiLCJBTiI6Ik1haWwiLCJXVCI6Mn0%3D%7C0%7C%7C%7C&amp;sdata=YrFCuo%2BUjHKB%2BNkfib8metK0RUg86V%2BSjrSMX034k3k%3D&amp;reserved=0</w:t>
        </w:r>
      </w:hyperlink>
      <w:r w:rsidR="003C53D5" w:rsidRPr="009D4419">
        <w:rPr>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7ECDF08"/>
    <w:lvl w:ilvl="0">
      <w:numFmt w:val="bullet"/>
      <w:pStyle w:val="ListBullet"/>
      <w:lvlText w:val="*"/>
      <w:lvlJc w:val="left"/>
    </w:lvl>
  </w:abstractNum>
  <w:abstractNum w:abstractNumId="1" w15:restartNumberingAfterBreak="0">
    <w:nsid w:val="0ACC6ADA"/>
    <w:multiLevelType w:val="multilevel"/>
    <w:tmpl w:val="58DEA61E"/>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704BD8"/>
    <w:multiLevelType w:val="hybridMultilevel"/>
    <w:tmpl w:val="B170C30C"/>
    <w:lvl w:ilvl="0" w:tplc="AB627AE4">
      <w:start w:val="1"/>
      <w:numFmt w:val="bullet"/>
      <w:pStyle w:val="ExecListlvl1"/>
      <w:lvlText w:val=" "/>
      <w:lvlJc w:val="left"/>
      <w:pPr>
        <w:ind w:left="72" w:hanging="72"/>
      </w:pPr>
      <w:rPr>
        <w:rFonts w:ascii="Calibri (Body)" w:hAnsi="Calibri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E35CB"/>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4867D5"/>
    <w:multiLevelType w:val="multilevel"/>
    <w:tmpl w:val="A40CCAD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5144FB"/>
    <w:multiLevelType w:val="multilevel"/>
    <w:tmpl w:val="075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C5E19"/>
    <w:multiLevelType w:val="multilevel"/>
    <w:tmpl w:val="6414C53C"/>
    <w:styleLink w:val="CurrentList4"/>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3E0211"/>
    <w:multiLevelType w:val="hybridMultilevel"/>
    <w:tmpl w:val="479E0292"/>
    <w:lvl w:ilvl="0" w:tplc="FFFFFFFF">
      <w:start w:val="1"/>
      <w:numFmt w:val="bullet"/>
      <w:lvlText w:val=" "/>
      <w:lvlJc w:val="left"/>
      <w:pPr>
        <w:ind w:left="72" w:hanging="72"/>
      </w:pPr>
      <w:rPr>
        <w:rFonts w:ascii="Calibri (Body)" w:hAnsi="Calibri (Body)" w:hint="default"/>
      </w:rPr>
    </w:lvl>
    <w:lvl w:ilvl="1" w:tplc="E83E515E">
      <w:start w:val="1"/>
      <w:numFmt w:val="bullet"/>
      <w:pStyle w:val="ExecListlv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3D3C68"/>
    <w:multiLevelType w:val="multilevel"/>
    <w:tmpl w:val="E02ED680"/>
    <w:styleLink w:val="CurrentList6"/>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A760CC"/>
    <w:multiLevelType w:val="hybridMultilevel"/>
    <w:tmpl w:val="D98679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45FB7736"/>
    <w:multiLevelType w:val="multilevel"/>
    <w:tmpl w:val="ACFE1FA8"/>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F17FE0"/>
    <w:multiLevelType w:val="multilevel"/>
    <w:tmpl w:val="9C9A39CC"/>
    <w:styleLink w:val="CurrentList3"/>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1A1590"/>
    <w:multiLevelType w:val="multilevel"/>
    <w:tmpl w:val="F834ADEE"/>
    <w:lvl w:ilvl="0">
      <w:start w:val="1"/>
      <w:numFmt w:val="decimal"/>
      <w:pStyle w:val="ListParagraph"/>
      <w:lvlText w:val="%1."/>
      <w:lvlJc w:val="left"/>
      <w:pPr>
        <w:ind w:left="360" w:hanging="360"/>
      </w:pPr>
    </w:lvl>
    <w:lvl w:ilvl="1">
      <w:start w:val="1"/>
      <w:numFmt w:val="lowerLetter"/>
      <w:pStyle w:val="ListNumber2"/>
      <w:lvlText w:val="%2."/>
      <w:lvlJc w:val="left"/>
      <w:pPr>
        <w:ind w:left="720" w:hanging="360"/>
      </w:pPr>
      <w:rPr>
        <w:rFonts w:asciiTheme="minorHAnsi" w:hAnsiTheme="minorHAnsi" w:cs="Times New Roman" w:hint="default"/>
        <w:spacing w:val="-2"/>
        <w:w w:val="99"/>
        <w:sz w:val="24"/>
        <w:szCs w:val="24"/>
      </w:rPr>
    </w:lvl>
    <w:lvl w:ilvl="2">
      <w:start w:val="1"/>
      <w:numFmt w:val="lowerRoman"/>
      <w:pStyle w:val="ListNumber3"/>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abstractNum w:abstractNumId="14" w15:restartNumberingAfterBreak="0">
    <w:nsid w:val="568C123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56B70491"/>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DA445F"/>
    <w:multiLevelType w:val="multilevel"/>
    <w:tmpl w:val="B2D2B090"/>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745924"/>
    <w:multiLevelType w:val="hybridMultilevel"/>
    <w:tmpl w:val="904AE89C"/>
    <w:lvl w:ilvl="0" w:tplc="0472F78E">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F1696"/>
    <w:multiLevelType w:val="multilevel"/>
    <w:tmpl w:val="091AA48E"/>
    <w:styleLink w:val="CurrentList7"/>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F05E13"/>
    <w:multiLevelType w:val="multilevel"/>
    <w:tmpl w:val="5A04D416"/>
    <w:styleLink w:val="CurrentList5"/>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6901BB"/>
    <w:multiLevelType w:val="multilevel"/>
    <w:tmpl w:val="B170C30C"/>
    <w:styleLink w:val="CurrentList10"/>
    <w:lvl w:ilvl="0">
      <w:start w:val="1"/>
      <w:numFmt w:val="bullet"/>
      <w:lvlText w:val=" "/>
      <w:lvlJc w:val="left"/>
      <w:pPr>
        <w:ind w:left="72" w:hanging="72"/>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F06FF5"/>
    <w:multiLevelType w:val="multilevel"/>
    <w:tmpl w:val="A7E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7275E"/>
    <w:multiLevelType w:val="multilevel"/>
    <w:tmpl w:val="A01609AC"/>
    <w:styleLink w:val="CurrentList8"/>
    <w:lvl w:ilvl="0">
      <w:start w:val="1"/>
      <w:numFmt w:val="bullet"/>
      <w:lvlText w:val=" "/>
      <w:lvlJc w:val="left"/>
      <w:pPr>
        <w:tabs>
          <w:tab w:val="num" w:pos="14"/>
        </w:tabs>
        <w:ind w:left="14" w:firstLine="0"/>
      </w:pPr>
      <w:rPr>
        <w:rFonts w:ascii="Calibri (Body)" w:hAnsi="Calibri (Body)"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AE5BEE"/>
    <w:multiLevelType w:val="hybridMultilevel"/>
    <w:tmpl w:val="FBF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A7470E"/>
    <w:multiLevelType w:val="multilevel"/>
    <w:tmpl w:val="99282B28"/>
    <w:lvl w:ilvl="0">
      <w:start w:val="1"/>
      <w:numFmt w:val="decimal"/>
      <w:pStyle w:val="ListNumber"/>
      <w:lvlText w:val="%1."/>
      <w:lvlJc w:val="left"/>
      <w:pPr>
        <w:ind w:left="360" w:hanging="360"/>
      </w:pPr>
    </w:lvl>
    <w:lvl w:ilvl="1">
      <w:start w:val="1"/>
      <w:numFmt w:val="lowerLetter"/>
      <w:lvlText w:val="%2."/>
      <w:lvlJc w:val="left"/>
      <w:pPr>
        <w:ind w:left="720" w:hanging="360"/>
      </w:pPr>
      <w:rPr>
        <w:rFonts w:asciiTheme="minorHAnsi" w:hAnsiTheme="minorHAnsi" w:cs="Times New Roman" w:hint="default"/>
        <w:spacing w:val="-2"/>
        <w:w w:val="99"/>
        <w:sz w:val="24"/>
        <w:szCs w:val="24"/>
      </w:rPr>
    </w:lvl>
    <w:lvl w:ilvl="2">
      <w:start w:val="1"/>
      <w:numFmt w:val="lowerRoman"/>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num w:numId="1" w16cid:durableId="851068109">
    <w:abstractNumId w:val="4"/>
  </w:num>
  <w:num w:numId="2" w16cid:durableId="753892615">
    <w:abstractNumId w:val="10"/>
  </w:num>
  <w:num w:numId="3" w16cid:durableId="132531076">
    <w:abstractNumId w:val="12"/>
  </w:num>
  <w:num w:numId="4" w16cid:durableId="560215361">
    <w:abstractNumId w:val="6"/>
  </w:num>
  <w:num w:numId="5" w16cid:durableId="1374770358">
    <w:abstractNumId w:val="19"/>
  </w:num>
  <w:num w:numId="6" w16cid:durableId="344064041">
    <w:abstractNumId w:val="8"/>
  </w:num>
  <w:num w:numId="7" w16cid:durableId="961304362">
    <w:abstractNumId w:val="18"/>
  </w:num>
  <w:num w:numId="8" w16cid:durableId="1950697657">
    <w:abstractNumId w:val="22"/>
  </w:num>
  <w:num w:numId="9" w16cid:durableId="1603680336">
    <w:abstractNumId w:val="3"/>
  </w:num>
  <w:num w:numId="10" w16cid:durableId="1929802956">
    <w:abstractNumId w:val="2"/>
  </w:num>
  <w:num w:numId="11" w16cid:durableId="115368319">
    <w:abstractNumId w:val="20"/>
  </w:num>
  <w:num w:numId="12" w16cid:durableId="1890146073">
    <w:abstractNumId w:val="7"/>
  </w:num>
  <w:num w:numId="13" w16cid:durableId="105194466">
    <w:abstractNumId w:val="15"/>
  </w:num>
  <w:num w:numId="14" w16cid:durableId="551158893">
    <w:abstractNumId w:val="24"/>
  </w:num>
  <w:num w:numId="15" w16cid:durableId="2066947072">
    <w:abstractNumId w:val="13"/>
  </w:num>
  <w:num w:numId="16" w16cid:durableId="192159251">
    <w:abstractNumId w:val="9"/>
  </w:num>
  <w:num w:numId="17" w16cid:durableId="1766606579">
    <w:abstractNumId w:val="1"/>
  </w:num>
  <w:num w:numId="18" w16cid:durableId="784469194">
    <w:abstractNumId w:val="14"/>
  </w:num>
  <w:num w:numId="19" w16cid:durableId="1135683010">
    <w:abstractNumId w:val="16"/>
  </w:num>
  <w:num w:numId="20" w16cid:durableId="1982346914">
    <w:abstractNumId w:val="11"/>
  </w:num>
  <w:num w:numId="21" w16cid:durableId="1845247341">
    <w:abstractNumId w:val="0"/>
    <w:lvlOverride w:ilvl="0">
      <w:lvl w:ilvl="0">
        <w:start w:val="1"/>
        <w:numFmt w:val="bullet"/>
        <w:pStyle w:val="ListBullet"/>
        <w:lvlText w:val=""/>
        <w:legacy w:legacy="1" w:legacySpace="120" w:legacyIndent="360"/>
        <w:lvlJc w:val="left"/>
        <w:pPr>
          <w:ind w:left="360" w:hanging="360"/>
        </w:pPr>
        <w:rPr>
          <w:rFonts w:ascii="Symbol" w:hAnsi="Symbol" w:hint="default"/>
        </w:rPr>
      </w:lvl>
    </w:lvlOverride>
  </w:num>
  <w:num w:numId="22" w16cid:durableId="1830096775">
    <w:abstractNumId w:val="23"/>
  </w:num>
  <w:num w:numId="23" w16cid:durableId="134614941">
    <w:abstractNumId w:val="5"/>
  </w:num>
  <w:num w:numId="24" w16cid:durableId="902058933">
    <w:abstractNumId w:val="21"/>
  </w:num>
  <w:num w:numId="25" w16cid:durableId="145124355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78"/>
    <w:rsid w:val="00002C04"/>
    <w:rsid w:val="000047BB"/>
    <w:rsid w:val="00005691"/>
    <w:rsid w:val="00006241"/>
    <w:rsid w:val="00015C0F"/>
    <w:rsid w:val="00025EDC"/>
    <w:rsid w:val="00034A9F"/>
    <w:rsid w:val="00041F54"/>
    <w:rsid w:val="000445F5"/>
    <w:rsid w:val="00052AA9"/>
    <w:rsid w:val="000625AE"/>
    <w:rsid w:val="00062E25"/>
    <w:rsid w:val="00075723"/>
    <w:rsid w:val="000770B0"/>
    <w:rsid w:val="000802CC"/>
    <w:rsid w:val="000839E4"/>
    <w:rsid w:val="0008485D"/>
    <w:rsid w:val="00093B1E"/>
    <w:rsid w:val="00094D00"/>
    <w:rsid w:val="00095E70"/>
    <w:rsid w:val="000B0D59"/>
    <w:rsid w:val="000B251C"/>
    <w:rsid w:val="000C41E9"/>
    <w:rsid w:val="000D1491"/>
    <w:rsid w:val="000D1A21"/>
    <w:rsid w:val="000D2EC8"/>
    <w:rsid w:val="000F0789"/>
    <w:rsid w:val="00103300"/>
    <w:rsid w:val="00105687"/>
    <w:rsid w:val="001121CD"/>
    <w:rsid w:val="00112469"/>
    <w:rsid w:val="00115010"/>
    <w:rsid w:val="00115E4F"/>
    <w:rsid w:val="001177AB"/>
    <w:rsid w:val="00120D41"/>
    <w:rsid w:val="0013186A"/>
    <w:rsid w:val="0013412B"/>
    <w:rsid w:val="0013653B"/>
    <w:rsid w:val="00152831"/>
    <w:rsid w:val="001528F9"/>
    <w:rsid w:val="00155834"/>
    <w:rsid w:val="00186149"/>
    <w:rsid w:val="0019071D"/>
    <w:rsid w:val="001A18D9"/>
    <w:rsid w:val="001B1B78"/>
    <w:rsid w:val="001B3EF5"/>
    <w:rsid w:val="001B7C74"/>
    <w:rsid w:val="001C5469"/>
    <w:rsid w:val="001D48C8"/>
    <w:rsid w:val="001D5966"/>
    <w:rsid w:val="001F09CD"/>
    <w:rsid w:val="001F3636"/>
    <w:rsid w:val="001F5CCE"/>
    <w:rsid w:val="002019B5"/>
    <w:rsid w:val="002039F6"/>
    <w:rsid w:val="00216787"/>
    <w:rsid w:val="002233AB"/>
    <w:rsid w:val="002237F3"/>
    <w:rsid w:val="002335B7"/>
    <w:rsid w:val="00244208"/>
    <w:rsid w:val="00247781"/>
    <w:rsid w:val="0025561C"/>
    <w:rsid w:val="002671F2"/>
    <w:rsid w:val="00275557"/>
    <w:rsid w:val="00282A4B"/>
    <w:rsid w:val="00295A08"/>
    <w:rsid w:val="002A4D86"/>
    <w:rsid w:val="002B6773"/>
    <w:rsid w:val="002B7889"/>
    <w:rsid w:val="002D1178"/>
    <w:rsid w:val="002D20D8"/>
    <w:rsid w:val="002D379F"/>
    <w:rsid w:val="002D4B89"/>
    <w:rsid w:val="002D5A75"/>
    <w:rsid w:val="002D5CD7"/>
    <w:rsid w:val="002D6EAA"/>
    <w:rsid w:val="002F3E8C"/>
    <w:rsid w:val="002F7E59"/>
    <w:rsid w:val="0030020D"/>
    <w:rsid w:val="00300A78"/>
    <w:rsid w:val="00305543"/>
    <w:rsid w:val="003068AF"/>
    <w:rsid w:val="003156CF"/>
    <w:rsid w:val="0033371C"/>
    <w:rsid w:val="00343D43"/>
    <w:rsid w:val="00344277"/>
    <w:rsid w:val="00351101"/>
    <w:rsid w:val="00362F3D"/>
    <w:rsid w:val="0036477C"/>
    <w:rsid w:val="0036496D"/>
    <w:rsid w:val="00365492"/>
    <w:rsid w:val="00381045"/>
    <w:rsid w:val="003852F4"/>
    <w:rsid w:val="0039444E"/>
    <w:rsid w:val="003952D2"/>
    <w:rsid w:val="003A5F1F"/>
    <w:rsid w:val="003A633D"/>
    <w:rsid w:val="003A7635"/>
    <w:rsid w:val="003B06DF"/>
    <w:rsid w:val="003C4859"/>
    <w:rsid w:val="003C53D5"/>
    <w:rsid w:val="003D1615"/>
    <w:rsid w:val="003D4C52"/>
    <w:rsid w:val="003E15F0"/>
    <w:rsid w:val="003E32B6"/>
    <w:rsid w:val="003E57B7"/>
    <w:rsid w:val="003E6AE8"/>
    <w:rsid w:val="003E7915"/>
    <w:rsid w:val="003F407F"/>
    <w:rsid w:val="003F463C"/>
    <w:rsid w:val="003F5511"/>
    <w:rsid w:val="003F67D4"/>
    <w:rsid w:val="00405755"/>
    <w:rsid w:val="00423F2F"/>
    <w:rsid w:val="004367F2"/>
    <w:rsid w:val="00452E49"/>
    <w:rsid w:val="0046600F"/>
    <w:rsid w:val="00466FAB"/>
    <w:rsid w:val="004711C6"/>
    <w:rsid w:val="0047367C"/>
    <w:rsid w:val="00492186"/>
    <w:rsid w:val="00495A0A"/>
    <w:rsid w:val="00497FA9"/>
    <w:rsid w:val="004A0734"/>
    <w:rsid w:val="004B220F"/>
    <w:rsid w:val="004B37EE"/>
    <w:rsid w:val="004D0450"/>
    <w:rsid w:val="004D2D21"/>
    <w:rsid w:val="004D6D9B"/>
    <w:rsid w:val="004F1ECC"/>
    <w:rsid w:val="004F1FBE"/>
    <w:rsid w:val="004F4A27"/>
    <w:rsid w:val="00503107"/>
    <w:rsid w:val="005075AA"/>
    <w:rsid w:val="0054405A"/>
    <w:rsid w:val="005539F8"/>
    <w:rsid w:val="00555E2F"/>
    <w:rsid w:val="005611DE"/>
    <w:rsid w:val="005843E7"/>
    <w:rsid w:val="00596640"/>
    <w:rsid w:val="005A071B"/>
    <w:rsid w:val="005A07A2"/>
    <w:rsid w:val="005A4C08"/>
    <w:rsid w:val="005A53B6"/>
    <w:rsid w:val="005B0984"/>
    <w:rsid w:val="005B350B"/>
    <w:rsid w:val="005B4D9A"/>
    <w:rsid w:val="005C0CC0"/>
    <w:rsid w:val="005C737A"/>
    <w:rsid w:val="005D1FA7"/>
    <w:rsid w:val="005F668C"/>
    <w:rsid w:val="00602179"/>
    <w:rsid w:val="00606B02"/>
    <w:rsid w:val="00613093"/>
    <w:rsid w:val="006131C9"/>
    <w:rsid w:val="006220B2"/>
    <w:rsid w:val="0062735F"/>
    <w:rsid w:val="006278A6"/>
    <w:rsid w:val="00630DEB"/>
    <w:rsid w:val="006356D1"/>
    <w:rsid w:val="00635D06"/>
    <w:rsid w:val="00642458"/>
    <w:rsid w:val="0065420B"/>
    <w:rsid w:val="00656442"/>
    <w:rsid w:val="00677EE1"/>
    <w:rsid w:val="00681EB3"/>
    <w:rsid w:val="006960EC"/>
    <w:rsid w:val="006A5378"/>
    <w:rsid w:val="006A6909"/>
    <w:rsid w:val="006B1BEA"/>
    <w:rsid w:val="006B36CF"/>
    <w:rsid w:val="006B7EAF"/>
    <w:rsid w:val="006D3D22"/>
    <w:rsid w:val="006E0112"/>
    <w:rsid w:val="006E058C"/>
    <w:rsid w:val="006E3B3E"/>
    <w:rsid w:val="006E6753"/>
    <w:rsid w:val="006F046B"/>
    <w:rsid w:val="006F1468"/>
    <w:rsid w:val="006F58AE"/>
    <w:rsid w:val="006F75C0"/>
    <w:rsid w:val="0070543F"/>
    <w:rsid w:val="00717D89"/>
    <w:rsid w:val="00726448"/>
    <w:rsid w:val="00727081"/>
    <w:rsid w:val="0073315F"/>
    <w:rsid w:val="00756C7D"/>
    <w:rsid w:val="00766217"/>
    <w:rsid w:val="007709D1"/>
    <w:rsid w:val="007767B9"/>
    <w:rsid w:val="007806BD"/>
    <w:rsid w:val="00787965"/>
    <w:rsid w:val="00790A86"/>
    <w:rsid w:val="00796D60"/>
    <w:rsid w:val="007A524E"/>
    <w:rsid w:val="007B13BE"/>
    <w:rsid w:val="007C10F7"/>
    <w:rsid w:val="007C7CEA"/>
    <w:rsid w:val="007D581D"/>
    <w:rsid w:val="007E163C"/>
    <w:rsid w:val="007E5EAC"/>
    <w:rsid w:val="007E7427"/>
    <w:rsid w:val="007F62C1"/>
    <w:rsid w:val="007F7DDD"/>
    <w:rsid w:val="0080702A"/>
    <w:rsid w:val="00812175"/>
    <w:rsid w:val="00812A8A"/>
    <w:rsid w:val="00815D3A"/>
    <w:rsid w:val="00835A43"/>
    <w:rsid w:val="00836A0B"/>
    <w:rsid w:val="0083771E"/>
    <w:rsid w:val="008379E0"/>
    <w:rsid w:val="008439B7"/>
    <w:rsid w:val="00851B7D"/>
    <w:rsid w:val="00875744"/>
    <w:rsid w:val="00876A74"/>
    <w:rsid w:val="008806B8"/>
    <w:rsid w:val="008819F0"/>
    <w:rsid w:val="008834E1"/>
    <w:rsid w:val="00883845"/>
    <w:rsid w:val="00887C1E"/>
    <w:rsid w:val="008900B5"/>
    <w:rsid w:val="00890C35"/>
    <w:rsid w:val="008A032B"/>
    <w:rsid w:val="008C3674"/>
    <w:rsid w:val="008E1A14"/>
    <w:rsid w:val="008E311B"/>
    <w:rsid w:val="008E7BC5"/>
    <w:rsid w:val="008F0668"/>
    <w:rsid w:val="008F3D85"/>
    <w:rsid w:val="008F633B"/>
    <w:rsid w:val="0090659E"/>
    <w:rsid w:val="00910C95"/>
    <w:rsid w:val="00913446"/>
    <w:rsid w:val="0091467A"/>
    <w:rsid w:val="00914729"/>
    <w:rsid w:val="00927A48"/>
    <w:rsid w:val="0093079B"/>
    <w:rsid w:val="00932612"/>
    <w:rsid w:val="00943C10"/>
    <w:rsid w:val="009568A2"/>
    <w:rsid w:val="0095731C"/>
    <w:rsid w:val="00963DA6"/>
    <w:rsid w:val="00966B35"/>
    <w:rsid w:val="00992DC5"/>
    <w:rsid w:val="00996AC5"/>
    <w:rsid w:val="00997F99"/>
    <w:rsid w:val="009A18FE"/>
    <w:rsid w:val="009A4C82"/>
    <w:rsid w:val="009A595A"/>
    <w:rsid w:val="009B06CE"/>
    <w:rsid w:val="009B2C66"/>
    <w:rsid w:val="009B4BD9"/>
    <w:rsid w:val="009C35B2"/>
    <w:rsid w:val="009C7C04"/>
    <w:rsid w:val="009D4419"/>
    <w:rsid w:val="009D68AE"/>
    <w:rsid w:val="009E58EF"/>
    <w:rsid w:val="00A010F6"/>
    <w:rsid w:val="00A2109B"/>
    <w:rsid w:val="00A21111"/>
    <w:rsid w:val="00A24100"/>
    <w:rsid w:val="00A40A23"/>
    <w:rsid w:val="00A42FD4"/>
    <w:rsid w:val="00A82514"/>
    <w:rsid w:val="00A86357"/>
    <w:rsid w:val="00AA3683"/>
    <w:rsid w:val="00AB57D5"/>
    <w:rsid w:val="00AC3096"/>
    <w:rsid w:val="00AE1B9C"/>
    <w:rsid w:val="00AE6CD8"/>
    <w:rsid w:val="00AF2808"/>
    <w:rsid w:val="00AF2E2B"/>
    <w:rsid w:val="00AF4EC3"/>
    <w:rsid w:val="00B071C8"/>
    <w:rsid w:val="00B21BA4"/>
    <w:rsid w:val="00B2364D"/>
    <w:rsid w:val="00B35DF8"/>
    <w:rsid w:val="00B45338"/>
    <w:rsid w:val="00B513E8"/>
    <w:rsid w:val="00B52F94"/>
    <w:rsid w:val="00B57426"/>
    <w:rsid w:val="00B6659C"/>
    <w:rsid w:val="00B74A45"/>
    <w:rsid w:val="00B76EFD"/>
    <w:rsid w:val="00B877BE"/>
    <w:rsid w:val="00B93857"/>
    <w:rsid w:val="00B97531"/>
    <w:rsid w:val="00BA35B4"/>
    <w:rsid w:val="00BA4135"/>
    <w:rsid w:val="00BB5A80"/>
    <w:rsid w:val="00BB7EC0"/>
    <w:rsid w:val="00BC1C37"/>
    <w:rsid w:val="00BC32DD"/>
    <w:rsid w:val="00BD114C"/>
    <w:rsid w:val="00BD55E3"/>
    <w:rsid w:val="00C002F1"/>
    <w:rsid w:val="00C03D56"/>
    <w:rsid w:val="00C11C56"/>
    <w:rsid w:val="00C136C5"/>
    <w:rsid w:val="00C201E4"/>
    <w:rsid w:val="00C22711"/>
    <w:rsid w:val="00C27F24"/>
    <w:rsid w:val="00C3146A"/>
    <w:rsid w:val="00C4036F"/>
    <w:rsid w:val="00C42727"/>
    <w:rsid w:val="00C53034"/>
    <w:rsid w:val="00C53E17"/>
    <w:rsid w:val="00C612E7"/>
    <w:rsid w:val="00C675B7"/>
    <w:rsid w:val="00C73054"/>
    <w:rsid w:val="00C76FEC"/>
    <w:rsid w:val="00C804B5"/>
    <w:rsid w:val="00C81A5A"/>
    <w:rsid w:val="00C84FC5"/>
    <w:rsid w:val="00C93A0D"/>
    <w:rsid w:val="00C9649F"/>
    <w:rsid w:val="00CA2CC3"/>
    <w:rsid w:val="00CA3987"/>
    <w:rsid w:val="00CA3B4A"/>
    <w:rsid w:val="00CA498E"/>
    <w:rsid w:val="00CA4E78"/>
    <w:rsid w:val="00CB0CC8"/>
    <w:rsid w:val="00CB0DF0"/>
    <w:rsid w:val="00CC1EF9"/>
    <w:rsid w:val="00CD2950"/>
    <w:rsid w:val="00CD4412"/>
    <w:rsid w:val="00CD6834"/>
    <w:rsid w:val="00CD6BBB"/>
    <w:rsid w:val="00CE4153"/>
    <w:rsid w:val="00CF69F2"/>
    <w:rsid w:val="00D020CE"/>
    <w:rsid w:val="00D0502F"/>
    <w:rsid w:val="00D05D95"/>
    <w:rsid w:val="00D1168C"/>
    <w:rsid w:val="00D16B4F"/>
    <w:rsid w:val="00D335AC"/>
    <w:rsid w:val="00D34B8D"/>
    <w:rsid w:val="00D45AC8"/>
    <w:rsid w:val="00D53EF3"/>
    <w:rsid w:val="00D551A9"/>
    <w:rsid w:val="00D55A49"/>
    <w:rsid w:val="00D63C2B"/>
    <w:rsid w:val="00D64C5A"/>
    <w:rsid w:val="00D74674"/>
    <w:rsid w:val="00D8380E"/>
    <w:rsid w:val="00D857C7"/>
    <w:rsid w:val="00D9119F"/>
    <w:rsid w:val="00D947D3"/>
    <w:rsid w:val="00DA2C56"/>
    <w:rsid w:val="00DA42B1"/>
    <w:rsid w:val="00DB7892"/>
    <w:rsid w:val="00DC2990"/>
    <w:rsid w:val="00DE13EC"/>
    <w:rsid w:val="00DF1ECE"/>
    <w:rsid w:val="00E02882"/>
    <w:rsid w:val="00E12F23"/>
    <w:rsid w:val="00E20AB7"/>
    <w:rsid w:val="00E21A3F"/>
    <w:rsid w:val="00E30ADF"/>
    <w:rsid w:val="00E3255C"/>
    <w:rsid w:val="00E37251"/>
    <w:rsid w:val="00E47740"/>
    <w:rsid w:val="00E52237"/>
    <w:rsid w:val="00E67E3E"/>
    <w:rsid w:val="00E8695C"/>
    <w:rsid w:val="00E92D98"/>
    <w:rsid w:val="00E951B0"/>
    <w:rsid w:val="00EA2EF0"/>
    <w:rsid w:val="00EB1C4A"/>
    <w:rsid w:val="00EB54FF"/>
    <w:rsid w:val="00EB6EDC"/>
    <w:rsid w:val="00EC2922"/>
    <w:rsid w:val="00EC7A5E"/>
    <w:rsid w:val="00ED3ABD"/>
    <w:rsid w:val="00EE3212"/>
    <w:rsid w:val="00EE60F7"/>
    <w:rsid w:val="00EE75CF"/>
    <w:rsid w:val="00EF647E"/>
    <w:rsid w:val="00F04D0C"/>
    <w:rsid w:val="00F06C87"/>
    <w:rsid w:val="00F200D0"/>
    <w:rsid w:val="00F260A4"/>
    <w:rsid w:val="00F50EA5"/>
    <w:rsid w:val="00F5678E"/>
    <w:rsid w:val="00F67450"/>
    <w:rsid w:val="00F679DE"/>
    <w:rsid w:val="00F73C8F"/>
    <w:rsid w:val="00F748F2"/>
    <w:rsid w:val="00F86618"/>
    <w:rsid w:val="00F868BC"/>
    <w:rsid w:val="00F86F88"/>
    <w:rsid w:val="00F91E1F"/>
    <w:rsid w:val="00F9328B"/>
    <w:rsid w:val="00F977CD"/>
    <w:rsid w:val="00F97FF7"/>
    <w:rsid w:val="00FA10C0"/>
    <w:rsid w:val="00FB1319"/>
    <w:rsid w:val="00FB2739"/>
    <w:rsid w:val="00FB30DF"/>
    <w:rsid w:val="00FC0036"/>
    <w:rsid w:val="00FC7711"/>
    <w:rsid w:val="00FE66E4"/>
    <w:rsid w:val="00FE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6BB06"/>
  <w15:chartTrackingRefBased/>
  <w15:docId w15:val="{DC6E78A5-4E88-0340-871E-6C152A95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lang w:val="en-US" w:eastAsia="en-US" w:bidi="ar-SA"/>
      </w:rPr>
    </w:rPrDefault>
    <w:pPrDefault>
      <w:pPr>
        <w:spacing w:after="1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BD"/>
  </w:style>
  <w:style w:type="paragraph" w:styleId="Heading1">
    <w:name w:val="heading 1"/>
    <w:basedOn w:val="Normal"/>
    <w:next w:val="Normal"/>
    <w:link w:val="Heading1Char"/>
    <w:uiPriority w:val="9"/>
    <w:qFormat/>
    <w:rsid w:val="00AE1B9C"/>
    <w:pPr>
      <w:keepNext/>
      <w:keepLines/>
      <w:spacing w:before="900" w:after="60" w:line="240" w:lineRule="auto"/>
      <w:jc w:val="center"/>
      <w:outlineLvl w:val="0"/>
    </w:pPr>
    <w:rPr>
      <w:rFonts w:asciiTheme="majorHAnsi" w:eastAsiaTheme="majorEastAsia" w:hAnsiTheme="majorHAnsi" w:cs="Times New Roman (Headings CS)"/>
      <w:noProof/>
      <w:color w:val="171717" w:themeColor="background2" w:themeShade="1A"/>
      <w:spacing w:val="2"/>
      <w:sz w:val="36"/>
      <w:szCs w:val="32"/>
    </w:rPr>
  </w:style>
  <w:style w:type="paragraph" w:styleId="Heading2">
    <w:name w:val="heading 2"/>
    <w:basedOn w:val="Heading1"/>
    <w:next w:val="Normal"/>
    <w:link w:val="Heading2Char"/>
    <w:uiPriority w:val="9"/>
    <w:unhideWhenUsed/>
    <w:qFormat/>
    <w:rsid w:val="001F3636"/>
    <w:pPr>
      <w:spacing w:before="360" w:after="100"/>
      <w:jc w:val="left"/>
      <w:outlineLvl w:val="1"/>
    </w:pPr>
    <w:rPr>
      <w:bCs/>
      <w:caps/>
      <w:sz w:val="30"/>
      <w:szCs w:val="30"/>
    </w:rPr>
  </w:style>
  <w:style w:type="paragraph" w:styleId="Heading3">
    <w:name w:val="heading 3"/>
    <w:basedOn w:val="Heading2"/>
    <w:next w:val="Normal"/>
    <w:link w:val="Heading3Char"/>
    <w:uiPriority w:val="9"/>
    <w:unhideWhenUsed/>
    <w:qFormat/>
    <w:rsid w:val="001F3636"/>
    <w:pPr>
      <w:outlineLvl w:val="2"/>
    </w:pPr>
    <w:rPr>
      <w:b/>
      <w:caps w:val="0"/>
      <w:color w:val="auto"/>
      <w:sz w:val="24"/>
    </w:rPr>
  </w:style>
  <w:style w:type="paragraph" w:styleId="Heading4">
    <w:name w:val="heading 4"/>
    <w:basedOn w:val="Normal"/>
    <w:next w:val="Normal"/>
    <w:link w:val="Heading4Char"/>
    <w:uiPriority w:val="9"/>
    <w:unhideWhenUsed/>
    <w:rsid w:val="00796D60"/>
    <w:pPr>
      <w:keepNext/>
      <w:keepLines/>
      <w:numPr>
        <w:ilvl w:val="3"/>
        <w:numId w:val="18"/>
      </w:numPr>
      <w:spacing w:before="40" w:after="0" w:line="240" w:lineRule="auto"/>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796D60"/>
    <w:pPr>
      <w:keepNext/>
      <w:keepLines/>
      <w:numPr>
        <w:ilvl w:val="4"/>
        <w:numId w:val="18"/>
      </w:numPr>
      <w:spacing w:before="40" w:after="0" w:line="240" w:lineRule="auto"/>
      <w:outlineLvl w:val="4"/>
    </w:pPr>
    <w:rPr>
      <w:rFonts w:eastAsiaTheme="majorEastAsia" w:cstheme="majorBidi"/>
      <w:color w:val="044C7F" w:themeColor="text2"/>
    </w:rPr>
  </w:style>
  <w:style w:type="paragraph" w:styleId="Heading6">
    <w:name w:val="heading 6"/>
    <w:basedOn w:val="Normal"/>
    <w:next w:val="Normal"/>
    <w:link w:val="Heading6Char"/>
    <w:uiPriority w:val="9"/>
    <w:semiHidden/>
    <w:unhideWhenUsed/>
    <w:qFormat/>
    <w:rsid w:val="00AE1B9C"/>
    <w:pPr>
      <w:keepNext/>
      <w:keepLines/>
      <w:numPr>
        <w:ilvl w:val="5"/>
        <w:numId w:val="18"/>
      </w:numPr>
      <w:spacing w:before="40" w:after="0"/>
      <w:outlineLvl w:val="5"/>
    </w:pPr>
    <w:rPr>
      <w:rFonts w:asciiTheme="majorHAnsi" w:eastAsiaTheme="majorEastAsia" w:hAnsiTheme="majorHAnsi" w:cstheme="majorBidi"/>
      <w:color w:val="442A52" w:themeColor="accent1" w:themeShade="7F"/>
    </w:rPr>
  </w:style>
  <w:style w:type="paragraph" w:styleId="Heading7">
    <w:name w:val="heading 7"/>
    <w:basedOn w:val="Normal"/>
    <w:next w:val="Normal"/>
    <w:link w:val="Heading7Char"/>
    <w:uiPriority w:val="9"/>
    <w:semiHidden/>
    <w:unhideWhenUsed/>
    <w:qFormat/>
    <w:rsid w:val="00AE1B9C"/>
    <w:pPr>
      <w:keepNext/>
      <w:keepLines/>
      <w:numPr>
        <w:ilvl w:val="6"/>
        <w:numId w:val="18"/>
      </w:numPr>
      <w:spacing w:before="40" w:after="0"/>
      <w:outlineLvl w:val="6"/>
    </w:pPr>
    <w:rPr>
      <w:rFonts w:asciiTheme="majorHAnsi" w:eastAsiaTheme="majorEastAsia" w:hAnsiTheme="majorHAnsi" w:cstheme="majorBidi"/>
      <w:i/>
      <w:iCs/>
      <w:color w:val="442A52" w:themeColor="accent1" w:themeShade="7F"/>
    </w:rPr>
  </w:style>
  <w:style w:type="paragraph" w:styleId="Heading8">
    <w:name w:val="heading 8"/>
    <w:basedOn w:val="Normal"/>
    <w:next w:val="Normal"/>
    <w:link w:val="Heading8Char"/>
    <w:uiPriority w:val="9"/>
    <w:semiHidden/>
    <w:unhideWhenUsed/>
    <w:qFormat/>
    <w:rsid w:val="00AE1B9C"/>
    <w:pPr>
      <w:keepNext/>
      <w:keepLines/>
      <w:numPr>
        <w:ilvl w:val="7"/>
        <w:numId w:val="18"/>
      </w:numPr>
      <w:spacing w:before="40" w:after="0"/>
      <w:outlineLvl w:val="7"/>
    </w:pPr>
    <w:rPr>
      <w:rFonts w:asciiTheme="majorHAnsi" w:eastAsiaTheme="majorEastAsia" w:hAnsiTheme="majorHAnsi" w:cstheme="majorBidi"/>
      <w:color w:val="056DB6" w:themeColor="text1" w:themeTint="D8"/>
      <w:sz w:val="21"/>
      <w:szCs w:val="21"/>
    </w:rPr>
  </w:style>
  <w:style w:type="paragraph" w:styleId="Heading9">
    <w:name w:val="heading 9"/>
    <w:basedOn w:val="Normal"/>
    <w:next w:val="Normal"/>
    <w:link w:val="Heading9Char"/>
    <w:uiPriority w:val="9"/>
    <w:semiHidden/>
    <w:unhideWhenUsed/>
    <w:qFormat/>
    <w:rsid w:val="00AE1B9C"/>
    <w:pPr>
      <w:keepNext/>
      <w:keepLines/>
      <w:numPr>
        <w:ilvl w:val="8"/>
        <w:numId w:val="18"/>
      </w:numPr>
      <w:spacing w:before="40" w:after="0"/>
      <w:outlineLvl w:val="8"/>
    </w:pPr>
    <w:rPr>
      <w:rFonts w:asciiTheme="majorHAnsi" w:eastAsiaTheme="majorEastAsia" w:hAnsiTheme="majorHAnsi" w:cstheme="majorBidi"/>
      <w:i/>
      <w:iCs/>
      <w:color w:val="056DB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4"/>
    <w:rPr>
      <w:rFonts w:asciiTheme="majorHAnsi" w:eastAsiaTheme="majorEastAsia" w:hAnsiTheme="majorHAnsi" w:cs="Times New Roman (Headings CS)"/>
      <w:noProof/>
      <w:color w:val="171717" w:themeColor="background2" w:themeShade="1A"/>
      <w:spacing w:val="2"/>
      <w:sz w:val="36"/>
      <w:szCs w:val="32"/>
    </w:rPr>
  </w:style>
  <w:style w:type="character" w:customStyle="1" w:styleId="Heading2Char">
    <w:name w:val="Heading 2 Char"/>
    <w:basedOn w:val="DefaultParagraphFont"/>
    <w:link w:val="Heading2"/>
    <w:uiPriority w:val="9"/>
    <w:rsid w:val="001F3636"/>
    <w:rPr>
      <w:rFonts w:asciiTheme="majorHAnsi" w:eastAsiaTheme="majorEastAsia" w:hAnsiTheme="majorHAnsi" w:cs="Times New Roman (Headings CS)"/>
      <w:bCs/>
      <w:caps/>
      <w:noProof/>
      <w:color w:val="171717" w:themeColor="background2" w:themeShade="1A"/>
      <w:spacing w:val="2"/>
      <w:sz w:val="30"/>
      <w:szCs w:val="30"/>
    </w:rPr>
  </w:style>
  <w:style w:type="character" w:customStyle="1" w:styleId="Heading3Char">
    <w:name w:val="Heading 3 Char"/>
    <w:basedOn w:val="DefaultParagraphFont"/>
    <w:link w:val="Heading3"/>
    <w:uiPriority w:val="9"/>
    <w:rsid w:val="001F3636"/>
    <w:rPr>
      <w:rFonts w:asciiTheme="majorHAnsi" w:eastAsiaTheme="majorEastAsia" w:hAnsiTheme="majorHAnsi" w:cs="Times New Roman (Headings CS)"/>
      <w:b/>
      <w:bCs/>
      <w:noProof/>
      <w:spacing w:val="2"/>
      <w:sz w:val="24"/>
      <w:szCs w:val="30"/>
    </w:rPr>
  </w:style>
  <w:style w:type="character" w:styleId="Strong">
    <w:name w:val="Strong"/>
    <w:aliases w:val="Strong - Bold text"/>
    <w:basedOn w:val="DefaultParagraphFont"/>
    <w:uiPriority w:val="22"/>
    <w:qFormat/>
    <w:rsid w:val="009A595A"/>
    <w:rPr>
      <w:rFonts w:ascii="Arial" w:hAnsi="Arial"/>
      <w:b/>
      <w:bCs/>
      <w:i w:val="0"/>
    </w:rPr>
  </w:style>
  <w:style w:type="character" w:styleId="Emphasis">
    <w:name w:val="Emphasis"/>
    <w:basedOn w:val="DefaultParagraphFont"/>
    <w:uiPriority w:val="20"/>
    <w:qFormat/>
    <w:rsid w:val="009A595A"/>
    <w:rPr>
      <w:rFonts w:ascii="Arial" w:hAnsi="Arial"/>
      <w:b w:val="0"/>
      <w:i/>
      <w:iCs/>
      <w:spacing w:val="2"/>
    </w:rPr>
  </w:style>
  <w:style w:type="paragraph" w:styleId="BodyText">
    <w:name w:val="Body Text"/>
    <w:basedOn w:val="Normal"/>
    <w:link w:val="BodyTextChar"/>
    <w:uiPriority w:val="99"/>
    <w:unhideWhenUsed/>
    <w:qFormat/>
    <w:rsid w:val="00796D60"/>
    <w:pPr>
      <w:spacing w:after="120"/>
    </w:pPr>
    <w:rPr>
      <w:rFonts w:cs="Times New Roman (Headings CS)"/>
      <w:color w:val="3B3838" w:themeColor="background2" w:themeShade="40"/>
      <w:szCs w:val="32"/>
    </w:rPr>
  </w:style>
  <w:style w:type="character" w:customStyle="1" w:styleId="BodyTextChar">
    <w:name w:val="Body Text Char"/>
    <w:basedOn w:val="DefaultParagraphFont"/>
    <w:link w:val="BodyText"/>
    <w:uiPriority w:val="99"/>
    <w:rsid w:val="00796D60"/>
    <w:rPr>
      <w:rFonts w:ascii="Lato" w:hAnsi="Lato" w:cs="Times New Roman (Headings CS)"/>
      <w:color w:val="3B3838" w:themeColor="background2" w:themeShade="40"/>
      <w:szCs w:val="32"/>
    </w:rPr>
  </w:style>
  <w:style w:type="paragraph" w:styleId="BodyTextFirstIndent">
    <w:name w:val="Body Text First Indent"/>
    <w:basedOn w:val="BodyText"/>
    <w:link w:val="BodyTextFirstIndentChar"/>
    <w:uiPriority w:val="99"/>
    <w:unhideWhenUsed/>
    <w:qFormat/>
    <w:rsid w:val="002237F3"/>
    <w:pPr>
      <w:spacing w:after="0"/>
      <w:ind w:firstLine="360"/>
    </w:pPr>
  </w:style>
  <w:style w:type="character" w:customStyle="1" w:styleId="BodyTextFirstIndentChar">
    <w:name w:val="Body Text First Indent Char"/>
    <w:basedOn w:val="BodyTextChar"/>
    <w:link w:val="BodyTextFirstIndent"/>
    <w:uiPriority w:val="99"/>
    <w:rsid w:val="002237F3"/>
    <w:rPr>
      <w:rFonts w:ascii="Gill Sans MT" w:hAnsi="Gill Sans MT" w:cs="Times New Roman (Headings CS)"/>
      <w:color w:val="3B3838" w:themeColor="background2" w:themeShade="40"/>
      <w:szCs w:val="32"/>
    </w:rPr>
  </w:style>
  <w:style w:type="paragraph" w:styleId="FootnoteText">
    <w:name w:val="footnote text"/>
    <w:basedOn w:val="Normal"/>
    <w:link w:val="FootnoteTextChar"/>
    <w:uiPriority w:val="99"/>
    <w:unhideWhenUsed/>
    <w:rsid w:val="002237F3"/>
    <w:pPr>
      <w:spacing w:after="0" w:line="240" w:lineRule="auto"/>
    </w:pPr>
    <w:rPr>
      <w:rFonts w:ascii="Gill Sans MT" w:hAnsi="Gill Sans MT" w:cs="Times New Roman (Headings CS)"/>
      <w:color w:val="3B3838" w:themeColor="background2" w:themeShade="40"/>
      <w:sz w:val="20"/>
    </w:rPr>
  </w:style>
  <w:style w:type="character" w:customStyle="1" w:styleId="FootnoteTextChar">
    <w:name w:val="Footnote Text Char"/>
    <w:basedOn w:val="DefaultParagraphFont"/>
    <w:link w:val="FootnoteText"/>
    <w:uiPriority w:val="99"/>
    <w:rsid w:val="002237F3"/>
    <w:rPr>
      <w:rFonts w:ascii="Gill Sans MT" w:hAnsi="Gill Sans MT" w:cs="Times New Roman (Headings CS)"/>
      <w:color w:val="3B3838" w:themeColor="background2" w:themeShade="40"/>
      <w:sz w:val="20"/>
      <w:szCs w:val="20"/>
    </w:rPr>
  </w:style>
  <w:style w:type="character" w:styleId="Hyperlink">
    <w:name w:val="Hyperlink"/>
    <w:basedOn w:val="DefaultParagraphFont"/>
    <w:uiPriority w:val="99"/>
    <w:unhideWhenUsed/>
    <w:rsid w:val="00C73054"/>
    <w:rPr>
      <w:b w:val="0"/>
      <w:i w:val="0"/>
      <w:color w:val="316196" w:themeColor="accent3" w:themeShade="BF"/>
      <w:u w:val="single"/>
    </w:rPr>
  </w:style>
  <w:style w:type="character" w:styleId="FootnoteReference">
    <w:name w:val="footnote reference"/>
    <w:basedOn w:val="DefaultParagraphFont"/>
    <w:uiPriority w:val="99"/>
    <w:unhideWhenUsed/>
    <w:rsid w:val="00F91E1F"/>
    <w:rPr>
      <w:rFonts w:asciiTheme="minorHAnsi" w:hAnsiTheme="minorHAnsi"/>
      <w:b w:val="0"/>
      <w:i w:val="0"/>
      <w:sz w:val="20"/>
      <w:vertAlign w:val="superscript"/>
    </w:rPr>
  </w:style>
  <w:style w:type="paragraph" w:styleId="ListParagraph">
    <w:name w:val="List Paragraph"/>
    <w:basedOn w:val="Normal"/>
    <w:uiPriority w:val="34"/>
    <w:qFormat/>
    <w:rsid w:val="00656442"/>
    <w:pPr>
      <w:numPr>
        <w:numId w:val="15"/>
      </w:numPr>
      <w:spacing w:after="0"/>
      <w:contextualSpacing/>
    </w:pPr>
    <w:rPr>
      <w:rFonts w:eastAsiaTheme="minorEastAsia"/>
      <w:color w:val="3B3838" w:themeColor="background2" w:themeShade="40"/>
    </w:rPr>
  </w:style>
  <w:style w:type="paragraph" w:styleId="Header">
    <w:name w:val="header"/>
    <w:basedOn w:val="Normal"/>
    <w:link w:val="HeaderChar"/>
    <w:uiPriority w:val="99"/>
    <w:unhideWhenUsed/>
    <w:rsid w:val="0022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F3"/>
  </w:style>
  <w:style w:type="paragraph" w:styleId="Footer">
    <w:name w:val="footer"/>
    <w:basedOn w:val="Normal"/>
    <w:link w:val="FooterChar"/>
    <w:uiPriority w:val="99"/>
    <w:unhideWhenUsed/>
    <w:rsid w:val="00F91E1F"/>
    <w:pPr>
      <w:tabs>
        <w:tab w:val="center" w:pos="4680"/>
        <w:tab w:val="right" w:pos="9360"/>
      </w:tabs>
      <w:spacing w:after="0" w:line="240" w:lineRule="auto"/>
    </w:pPr>
    <w:rPr>
      <w:color w:val="505050"/>
      <w:sz w:val="18"/>
    </w:rPr>
  </w:style>
  <w:style w:type="character" w:customStyle="1" w:styleId="FooterChar">
    <w:name w:val="Footer Char"/>
    <w:basedOn w:val="DefaultParagraphFont"/>
    <w:link w:val="Footer"/>
    <w:uiPriority w:val="99"/>
    <w:rsid w:val="00F91E1F"/>
    <w:rPr>
      <w:color w:val="505050"/>
      <w:sz w:val="18"/>
    </w:rPr>
  </w:style>
  <w:style w:type="character" w:customStyle="1" w:styleId="Heading4Char">
    <w:name w:val="Heading 4 Char"/>
    <w:basedOn w:val="DefaultParagraphFont"/>
    <w:link w:val="Heading4"/>
    <w:uiPriority w:val="9"/>
    <w:rsid w:val="00796D60"/>
    <w:rPr>
      <w:rFonts w:eastAsiaTheme="majorEastAsia" w:cstheme="majorBidi"/>
      <w:iCs/>
    </w:rPr>
  </w:style>
  <w:style w:type="character" w:customStyle="1" w:styleId="Heading5Char">
    <w:name w:val="Heading 5 Char"/>
    <w:basedOn w:val="DefaultParagraphFont"/>
    <w:link w:val="Heading5"/>
    <w:uiPriority w:val="9"/>
    <w:semiHidden/>
    <w:rsid w:val="00796D60"/>
    <w:rPr>
      <w:rFonts w:eastAsiaTheme="majorEastAsia" w:cstheme="majorBidi"/>
      <w:color w:val="044C7F" w:themeColor="text2"/>
    </w:rPr>
  </w:style>
  <w:style w:type="numbering" w:customStyle="1" w:styleId="CurrentList1">
    <w:name w:val="Current List1"/>
    <w:uiPriority w:val="99"/>
    <w:rsid w:val="005B350B"/>
    <w:pPr>
      <w:numPr>
        <w:numId w:val="1"/>
      </w:numPr>
    </w:pPr>
  </w:style>
  <w:style w:type="paragraph" w:customStyle="1" w:styleId="ExecListlvl1">
    <w:name w:val="Exec List lvl 1"/>
    <w:basedOn w:val="Normal"/>
    <w:qFormat/>
    <w:rsid w:val="005F668C"/>
    <w:pPr>
      <w:numPr>
        <w:numId w:val="10"/>
      </w:numPr>
      <w:spacing w:before="80" w:after="0" w:line="220" w:lineRule="exact"/>
    </w:pPr>
    <w:rPr>
      <w:b/>
      <w:sz w:val="17"/>
    </w:rPr>
  </w:style>
  <w:style w:type="numbering" w:customStyle="1" w:styleId="CurrentList10">
    <w:name w:val="Current List10"/>
    <w:uiPriority w:val="99"/>
    <w:rsid w:val="00FA10C0"/>
    <w:pPr>
      <w:numPr>
        <w:numId w:val="11"/>
      </w:numPr>
    </w:pPr>
  </w:style>
  <w:style w:type="numbering" w:customStyle="1" w:styleId="CurrentList2">
    <w:name w:val="Current List2"/>
    <w:uiPriority w:val="99"/>
    <w:rsid w:val="007D581D"/>
    <w:pPr>
      <w:numPr>
        <w:numId w:val="2"/>
      </w:numPr>
    </w:pPr>
  </w:style>
  <w:style w:type="numbering" w:customStyle="1" w:styleId="CurrentList3">
    <w:name w:val="Current List3"/>
    <w:uiPriority w:val="99"/>
    <w:rsid w:val="007D581D"/>
    <w:pPr>
      <w:numPr>
        <w:numId w:val="3"/>
      </w:numPr>
    </w:pPr>
  </w:style>
  <w:style w:type="numbering" w:customStyle="1" w:styleId="CurrentList4">
    <w:name w:val="Current List4"/>
    <w:uiPriority w:val="99"/>
    <w:rsid w:val="007D581D"/>
    <w:pPr>
      <w:numPr>
        <w:numId w:val="4"/>
      </w:numPr>
    </w:pPr>
  </w:style>
  <w:style w:type="numbering" w:customStyle="1" w:styleId="CurrentList8">
    <w:name w:val="Current List8"/>
    <w:uiPriority w:val="99"/>
    <w:rsid w:val="00875744"/>
    <w:pPr>
      <w:numPr>
        <w:numId w:val="8"/>
      </w:numPr>
    </w:pPr>
  </w:style>
  <w:style w:type="numbering" w:customStyle="1" w:styleId="CurrentList5">
    <w:name w:val="Current List5"/>
    <w:uiPriority w:val="99"/>
    <w:rsid w:val="007D581D"/>
    <w:pPr>
      <w:numPr>
        <w:numId w:val="5"/>
      </w:numPr>
    </w:pPr>
  </w:style>
  <w:style w:type="numbering" w:customStyle="1" w:styleId="CurrentList6">
    <w:name w:val="Current List6"/>
    <w:uiPriority w:val="99"/>
    <w:rsid w:val="00F748F2"/>
    <w:pPr>
      <w:numPr>
        <w:numId w:val="6"/>
      </w:numPr>
    </w:pPr>
  </w:style>
  <w:style w:type="numbering" w:customStyle="1" w:styleId="CurrentList7">
    <w:name w:val="Current List7"/>
    <w:uiPriority w:val="99"/>
    <w:rsid w:val="00F748F2"/>
    <w:pPr>
      <w:numPr>
        <w:numId w:val="7"/>
      </w:numPr>
    </w:pPr>
  </w:style>
  <w:style w:type="numbering" w:customStyle="1" w:styleId="CurrentList9">
    <w:name w:val="Current List9"/>
    <w:uiPriority w:val="99"/>
    <w:rsid w:val="00075723"/>
    <w:pPr>
      <w:numPr>
        <w:numId w:val="9"/>
      </w:numPr>
    </w:pPr>
  </w:style>
  <w:style w:type="paragraph" w:customStyle="1" w:styleId="ExeclistNormal">
    <w:name w:val="Exec list Normal"/>
    <w:basedOn w:val="Normal"/>
    <w:qFormat/>
    <w:rsid w:val="005F668C"/>
    <w:pPr>
      <w:spacing w:after="0" w:line="220" w:lineRule="exact"/>
    </w:pPr>
    <w:rPr>
      <w:b/>
      <w:sz w:val="17"/>
      <w:szCs w:val="17"/>
    </w:rPr>
  </w:style>
  <w:style w:type="paragraph" w:customStyle="1" w:styleId="ExecListlvl2">
    <w:name w:val="Exec List lvl 2"/>
    <w:basedOn w:val="ExecListlvl1"/>
    <w:qFormat/>
    <w:rsid w:val="005F668C"/>
    <w:pPr>
      <w:numPr>
        <w:ilvl w:val="1"/>
        <w:numId w:val="12"/>
      </w:numPr>
      <w:spacing w:before="0"/>
      <w:ind w:left="144" w:hanging="144"/>
    </w:pPr>
    <w:rPr>
      <w:b w:val="0"/>
      <w:bCs/>
    </w:rPr>
  </w:style>
  <w:style w:type="character" w:styleId="UnresolvedMention">
    <w:name w:val="Unresolved Mention"/>
    <w:basedOn w:val="DefaultParagraphFont"/>
    <w:uiPriority w:val="99"/>
    <w:semiHidden/>
    <w:unhideWhenUsed/>
    <w:rsid w:val="003E57B7"/>
    <w:rPr>
      <w:color w:val="605E5C"/>
      <w:shd w:val="clear" w:color="auto" w:fill="E1DFDD"/>
    </w:rPr>
  </w:style>
  <w:style w:type="numbering" w:customStyle="1" w:styleId="CurrentList11">
    <w:name w:val="Current List11"/>
    <w:uiPriority w:val="99"/>
    <w:rsid w:val="003E6AE8"/>
    <w:pPr>
      <w:numPr>
        <w:numId w:val="13"/>
      </w:numPr>
    </w:pPr>
  </w:style>
  <w:style w:type="character" w:styleId="CommentReference">
    <w:name w:val="annotation reference"/>
    <w:basedOn w:val="DefaultParagraphFont"/>
    <w:uiPriority w:val="99"/>
    <w:semiHidden/>
    <w:unhideWhenUsed/>
    <w:rsid w:val="002039F6"/>
    <w:rPr>
      <w:sz w:val="16"/>
      <w:szCs w:val="16"/>
    </w:rPr>
  </w:style>
  <w:style w:type="paragraph" w:styleId="CommentText">
    <w:name w:val="annotation text"/>
    <w:basedOn w:val="Normal"/>
    <w:link w:val="CommentTextChar"/>
    <w:uiPriority w:val="99"/>
    <w:unhideWhenUsed/>
    <w:rsid w:val="002039F6"/>
    <w:pPr>
      <w:spacing w:line="240" w:lineRule="auto"/>
    </w:pPr>
    <w:rPr>
      <w:sz w:val="20"/>
    </w:rPr>
  </w:style>
  <w:style w:type="character" w:customStyle="1" w:styleId="CommentTextChar">
    <w:name w:val="Comment Text Char"/>
    <w:basedOn w:val="DefaultParagraphFont"/>
    <w:link w:val="CommentText"/>
    <w:uiPriority w:val="99"/>
    <w:rsid w:val="002039F6"/>
    <w:rPr>
      <w:color w:val="3B3838"/>
      <w:sz w:val="20"/>
      <w:szCs w:val="20"/>
    </w:rPr>
  </w:style>
  <w:style w:type="paragraph" w:styleId="CommentSubject">
    <w:name w:val="annotation subject"/>
    <w:basedOn w:val="CommentText"/>
    <w:next w:val="CommentText"/>
    <w:link w:val="CommentSubjectChar"/>
    <w:uiPriority w:val="99"/>
    <w:semiHidden/>
    <w:unhideWhenUsed/>
    <w:rsid w:val="002039F6"/>
    <w:rPr>
      <w:b/>
      <w:bCs/>
    </w:rPr>
  </w:style>
  <w:style w:type="character" w:customStyle="1" w:styleId="CommentSubjectChar">
    <w:name w:val="Comment Subject Char"/>
    <w:basedOn w:val="CommentTextChar"/>
    <w:link w:val="CommentSubject"/>
    <w:uiPriority w:val="99"/>
    <w:semiHidden/>
    <w:rsid w:val="002039F6"/>
    <w:rPr>
      <w:b/>
      <w:bCs/>
      <w:color w:val="3B3838"/>
      <w:sz w:val="20"/>
      <w:szCs w:val="20"/>
    </w:rPr>
  </w:style>
  <w:style w:type="character" w:styleId="FollowedHyperlink">
    <w:name w:val="FollowedHyperlink"/>
    <w:basedOn w:val="DefaultParagraphFont"/>
    <w:uiPriority w:val="99"/>
    <w:semiHidden/>
    <w:unhideWhenUsed/>
    <w:rsid w:val="00C11C56"/>
    <w:rPr>
      <w:color w:val="2C7F9A"/>
      <w:u w:val="single"/>
    </w:rPr>
  </w:style>
  <w:style w:type="table" w:styleId="TableGrid">
    <w:name w:val="Table Grid"/>
    <w:basedOn w:val="TableNormal"/>
    <w:uiPriority w:val="39"/>
    <w:rsid w:val="0076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217"/>
    <w:pPr>
      <w:autoSpaceDE w:val="0"/>
      <w:autoSpaceDN w:val="0"/>
      <w:adjustRightInd w:val="0"/>
    </w:pPr>
    <w:rPr>
      <w:rFonts w:ascii="Garamond" w:hAnsi="Garamond" w:cs="Garamond"/>
      <w:color w:val="000000"/>
    </w:rPr>
  </w:style>
  <w:style w:type="table" w:styleId="PlainTable1">
    <w:name w:val="Plain Table 1"/>
    <w:basedOn w:val="TableNormal"/>
    <w:uiPriority w:val="41"/>
    <w:rsid w:val="000625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rows">
    <w:name w:val="Table text rows"/>
    <w:basedOn w:val="Normal"/>
    <w:qFormat/>
    <w:rsid w:val="004F1ECC"/>
    <w:pPr>
      <w:keepNext/>
      <w:keepLines/>
      <w:spacing w:after="0" w:line="210" w:lineRule="exact"/>
    </w:pPr>
    <w:rPr>
      <w:rFonts w:eastAsia="Calibri"/>
      <w:sz w:val="20"/>
      <w:szCs w:val="22"/>
    </w:rPr>
  </w:style>
  <w:style w:type="paragraph" w:customStyle="1" w:styleId="Tableheaderrowtext">
    <w:name w:val="Table header row text"/>
    <w:basedOn w:val="Tabletextrows"/>
    <w:qFormat/>
    <w:rsid w:val="00503107"/>
    <w:pPr>
      <w:framePr w:hSpace="187" w:wrap="around" w:vAnchor="text" w:hAnchor="text" w:x="1" w:y="1"/>
      <w:snapToGrid w:val="0"/>
      <w:contextualSpacing/>
      <w:suppressOverlap/>
      <w:textboxTightWrap w:val="allLines"/>
    </w:pPr>
    <w:rPr>
      <w:b/>
      <w:caps/>
      <w:spacing w:val="6"/>
    </w:rPr>
  </w:style>
  <w:style w:type="table" w:customStyle="1" w:styleId="ASCCCtablealtrowsgrey">
    <w:name w:val="ASCCC table alt rows grey"/>
    <w:basedOn w:val="TableNormal"/>
    <w:uiPriority w:val="99"/>
    <w:rsid w:val="004D2D21"/>
    <w:pPr>
      <w:snapToGrid w:val="0"/>
      <w:spacing w:line="230" w:lineRule="exact"/>
      <w:contextualSpacing/>
      <w:textboxTightWrap w:val="allLines"/>
    </w:pPr>
    <w:rPr>
      <w:rFonts w:eastAsia="Calibri"/>
      <w:sz w:val="21"/>
    </w:rPr>
    <w:tblPr>
      <w:tblStyleRowBandSize w:val="1"/>
      <w:tblStyleColBandSize w:val="1"/>
      <w:tblBorders>
        <w:insideV w:val="single" w:sz="6" w:space="0" w:color="BFBFBF" w:themeColor="background1" w:themeShade="BF"/>
      </w:tblBorders>
      <w:tblCellMar>
        <w:top w:w="101" w:type="dxa"/>
        <w:left w:w="101" w:type="dxa"/>
        <w:bottom w:w="101" w:type="dxa"/>
        <w:right w:w="101" w:type="dxa"/>
      </w:tblCellMar>
    </w:tblPr>
    <w:trPr>
      <w:cantSplit/>
    </w:trPr>
    <w:tcPr>
      <w:shd w:val="clear" w:color="auto" w:fill="auto"/>
    </w:tcPr>
    <w:tblStylePr w:type="firstRow">
      <w:pPr>
        <w:wordWrap/>
        <w:spacing w:beforeLines="0" w:before="0" w:beforeAutospacing="0" w:afterLines="0" w:after="0" w:afterAutospacing="0" w:line="230" w:lineRule="exact"/>
      </w:pPr>
      <w:rPr>
        <w:rFonts w:asciiTheme="minorHAnsi" w:hAnsiTheme="minorHAnsi"/>
        <w:b/>
        <w:i w:val="0"/>
        <w:color w:val="auto"/>
        <w:sz w:val="23"/>
      </w:rPr>
      <w:tblPr/>
      <w:tcPr>
        <w:tcBorders>
          <w:insideH w:val="nil"/>
          <w:insideV w:val="single" w:sz="4" w:space="0" w:color="808080" w:themeColor="background1" w:themeShade="80"/>
        </w:tcBorders>
        <w:shd w:val="clear" w:color="auto" w:fill="D2D2D2"/>
      </w:tcPr>
    </w:tblStylePr>
    <w:tblStylePr w:type="lastRow">
      <w:pPr>
        <w:wordWrap/>
        <w:spacing w:beforeLines="0" w:before="0" w:beforeAutospacing="0" w:afterLines="0" w:after="0" w:afterAutospacing="0" w:line="230" w:lineRule="exact"/>
      </w:pPr>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3">
    <w:name w:val="Plain Table 3"/>
    <w:basedOn w:val="TableNormal"/>
    <w:uiPriority w:val="43"/>
    <w:rsid w:val="006278A6"/>
    <w:tblPr>
      <w:tblStyleRowBandSize w:val="1"/>
      <w:tblStyleColBandSize w:val="1"/>
    </w:tblPr>
    <w:tblStylePr w:type="firstRow">
      <w:rPr>
        <w:b/>
        <w:bCs/>
        <w:caps/>
      </w:rPr>
      <w:tblPr/>
      <w:tcPr>
        <w:tcBorders>
          <w:bottom w:val="single" w:sz="4" w:space="0" w:color="46AEF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AEF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1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7C10F7"/>
    <w:pPr>
      <w:snapToGrid w:val="0"/>
      <w:spacing w:line="220" w:lineRule="exact"/>
      <w:contextualSpacing/>
      <w:textboxTightWrap w:val="allLines"/>
    </w:pPr>
    <w:rPr>
      <w:rFonts w:eastAsia="Calibri" w:cstheme="minorHAnsi"/>
      <w:sz w:val="20"/>
    </w:rPr>
  </w:style>
  <w:style w:type="table" w:styleId="TableGridLight">
    <w:name w:val="Grid Table Light"/>
    <w:basedOn w:val="TableNormal"/>
    <w:uiPriority w:val="40"/>
    <w:rsid w:val="007C10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opcenteredtext">
    <w:name w:val="Normal - top centered text"/>
    <w:basedOn w:val="Normal"/>
    <w:qFormat/>
    <w:rsid w:val="00997F99"/>
    <w:pPr>
      <w:spacing w:after="400" w:line="260" w:lineRule="exact"/>
      <w:contextualSpacing/>
      <w:jc w:val="center"/>
    </w:pPr>
    <w:rPr>
      <w:color w:val="666666"/>
      <w:sz w:val="25"/>
      <w:szCs w:val="25"/>
    </w:rPr>
  </w:style>
  <w:style w:type="paragraph" w:styleId="ListNumber">
    <w:name w:val="List Number"/>
    <w:basedOn w:val="ListParagraph"/>
    <w:uiPriority w:val="99"/>
    <w:unhideWhenUsed/>
    <w:qFormat/>
    <w:rsid w:val="00876A74"/>
    <w:pPr>
      <w:numPr>
        <w:numId w:val="14"/>
      </w:numPr>
    </w:pPr>
    <w:rPr>
      <w:sz w:val="24"/>
      <w:szCs w:val="24"/>
    </w:rPr>
  </w:style>
  <w:style w:type="paragraph" w:styleId="ListNumber2">
    <w:name w:val="List Number 2"/>
    <w:basedOn w:val="ListParagraph"/>
    <w:uiPriority w:val="99"/>
    <w:unhideWhenUsed/>
    <w:qFormat/>
    <w:rsid w:val="00DE13EC"/>
    <w:pPr>
      <w:numPr>
        <w:ilvl w:val="1"/>
      </w:numPr>
    </w:pPr>
  </w:style>
  <w:style w:type="paragraph" w:styleId="ListNumber3">
    <w:name w:val="List Number 3"/>
    <w:basedOn w:val="ListParagraph"/>
    <w:uiPriority w:val="99"/>
    <w:unhideWhenUsed/>
    <w:rsid w:val="00DE13EC"/>
    <w:pPr>
      <w:numPr>
        <w:ilvl w:val="2"/>
      </w:numPr>
    </w:pPr>
  </w:style>
  <w:style w:type="paragraph" w:styleId="NormalWeb">
    <w:name w:val="Normal (Web)"/>
    <w:basedOn w:val="Normal"/>
    <w:uiPriority w:val="99"/>
    <w:unhideWhenUsed/>
    <w:rsid w:val="00AE1B9C"/>
    <w:pPr>
      <w:spacing w:before="100" w:beforeAutospacing="1" w:afterAutospacing="1" w:line="240" w:lineRule="auto"/>
    </w:pPr>
    <w:rPr>
      <w:rFonts w:ascii="Times New Roman" w:eastAsia="Times New Roman" w:hAnsi="Times New Roman"/>
      <w:sz w:val="24"/>
      <w:szCs w:val="24"/>
    </w:rPr>
  </w:style>
  <w:style w:type="numbering" w:customStyle="1" w:styleId="CurrentList12">
    <w:name w:val="Current List12"/>
    <w:uiPriority w:val="99"/>
    <w:rsid w:val="00AE1B9C"/>
    <w:pPr>
      <w:numPr>
        <w:numId w:val="17"/>
      </w:numPr>
    </w:pPr>
  </w:style>
  <w:style w:type="character" w:customStyle="1" w:styleId="Heading6Char">
    <w:name w:val="Heading 6 Char"/>
    <w:basedOn w:val="DefaultParagraphFont"/>
    <w:link w:val="Heading6"/>
    <w:uiPriority w:val="9"/>
    <w:semiHidden/>
    <w:rsid w:val="00AE1B9C"/>
    <w:rPr>
      <w:rFonts w:asciiTheme="majorHAnsi" w:eastAsiaTheme="majorEastAsia" w:hAnsiTheme="majorHAnsi" w:cstheme="majorBidi"/>
      <w:color w:val="442A52" w:themeColor="accent1" w:themeShade="7F"/>
    </w:rPr>
  </w:style>
  <w:style w:type="character" w:customStyle="1" w:styleId="Heading7Char">
    <w:name w:val="Heading 7 Char"/>
    <w:basedOn w:val="DefaultParagraphFont"/>
    <w:link w:val="Heading7"/>
    <w:uiPriority w:val="9"/>
    <w:semiHidden/>
    <w:rsid w:val="00AE1B9C"/>
    <w:rPr>
      <w:rFonts w:asciiTheme="majorHAnsi" w:eastAsiaTheme="majorEastAsia" w:hAnsiTheme="majorHAnsi" w:cstheme="majorBidi"/>
      <w:i/>
      <w:iCs/>
      <w:color w:val="442A52" w:themeColor="accent1" w:themeShade="7F"/>
    </w:rPr>
  </w:style>
  <w:style w:type="character" w:customStyle="1" w:styleId="Heading8Char">
    <w:name w:val="Heading 8 Char"/>
    <w:basedOn w:val="DefaultParagraphFont"/>
    <w:link w:val="Heading8"/>
    <w:uiPriority w:val="9"/>
    <w:semiHidden/>
    <w:rsid w:val="00AE1B9C"/>
    <w:rPr>
      <w:rFonts w:asciiTheme="majorHAnsi" w:eastAsiaTheme="majorEastAsia" w:hAnsiTheme="majorHAnsi" w:cstheme="majorBidi"/>
      <w:color w:val="056DB6" w:themeColor="text1" w:themeTint="D8"/>
      <w:sz w:val="21"/>
      <w:szCs w:val="21"/>
    </w:rPr>
  </w:style>
  <w:style w:type="character" w:customStyle="1" w:styleId="Heading9Char">
    <w:name w:val="Heading 9 Char"/>
    <w:basedOn w:val="DefaultParagraphFont"/>
    <w:link w:val="Heading9"/>
    <w:uiPriority w:val="9"/>
    <w:semiHidden/>
    <w:rsid w:val="00AE1B9C"/>
    <w:rPr>
      <w:rFonts w:asciiTheme="majorHAnsi" w:eastAsiaTheme="majorEastAsia" w:hAnsiTheme="majorHAnsi" w:cstheme="majorBidi"/>
      <w:i/>
      <w:iCs/>
      <w:color w:val="056DB6" w:themeColor="text1" w:themeTint="D8"/>
      <w:sz w:val="21"/>
      <w:szCs w:val="21"/>
    </w:rPr>
  </w:style>
  <w:style w:type="numbering" w:styleId="ArticleSection">
    <w:name w:val="Outline List 3"/>
    <w:basedOn w:val="NoList"/>
    <w:uiPriority w:val="99"/>
    <w:semiHidden/>
    <w:unhideWhenUsed/>
    <w:rsid w:val="00AE1B9C"/>
    <w:pPr>
      <w:numPr>
        <w:numId w:val="18"/>
      </w:numPr>
    </w:pPr>
  </w:style>
  <w:style w:type="numbering" w:customStyle="1" w:styleId="CurrentList13">
    <w:name w:val="Current List13"/>
    <w:uiPriority w:val="99"/>
    <w:rsid w:val="00AE1B9C"/>
    <w:pPr>
      <w:numPr>
        <w:numId w:val="19"/>
      </w:numPr>
    </w:pPr>
  </w:style>
  <w:style w:type="paragraph" w:customStyle="1" w:styleId="BulletedListwobullets">
    <w:name w:val="Bulleted List w/o bullets"/>
    <w:basedOn w:val="ListParagraph"/>
    <w:qFormat/>
    <w:rsid w:val="00ED3ABD"/>
    <w:pPr>
      <w:numPr>
        <w:numId w:val="20"/>
      </w:numPr>
    </w:pPr>
    <w:rPr>
      <w:color w:val="auto"/>
    </w:rPr>
  </w:style>
  <w:style w:type="paragraph" w:styleId="ListBullet">
    <w:name w:val="List Bullet"/>
    <w:basedOn w:val="Normal"/>
    <w:uiPriority w:val="99"/>
    <w:unhideWhenUsed/>
    <w:rsid w:val="00ED3ABD"/>
    <w:pPr>
      <w:numPr>
        <w:numId w:val="21"/>
      </w:numPr>
      <w:ind w:firstLine="0"/>
      <w:contextualSpacing/>
    </w:pPr>
  </w:style>
  <w:style w:type="paragraph" w:styleId="TOC1">
    <w:name w:val="toc 1"/>
    <w:basedOn w:val="Normal"/>
    <w:next w:val="Normal"/>
    <w:autoRedefine/>
    <w:uiPriority w:val="39"/>
    <w:unhideWhenUsed/>
    <w:rsid w:val="00120D41"/>
    <w:pPr>
      <w:tabs>
        <w:tab w:val="right" w:leader="dot" w:pos="10070"/>
      </w:tabs>
      <w:spacing w:before="80" w:after="0" w:line="220" w:lineRule="exact"/>
    </w:pPr>
    <w:rPr>
      <w:noProof/>
    </w:rPr>
  </w:style>
  <w:style w:type="paragraph" w:styleId="TOC2">
    <w:name w:val="toc 2"/>
    <w:basedOn w:val="Normal"/>
    <w:next w:val="Normal"/>
    <w:autoRedefine/>
    <w:uiPriority w:val="39"/>
    <w:unhideWhenUsed/>
    <w:rsid w:val="009568A2"/>
    <w:pPr>
      <w:tabs>
        <w:tab w:val="right" w:leader="dot" w:pos="10070"/>
      </w:tabs>
      <w:spacing w:after="0" w:line="260" w:lineRule="exact"/>
      <w:ind w:left="540" w:hanging="270"/>
    </w:pPr>
    <w:rPr>
      <w:noProof/>
      <w:sz w:val="20"/>
    </w:rPr>
  </w:style>
  <w:style w:type="paragraph" w:styleId="TOCHeading">
    <w:name w:val="TOC Heading"/>
    <w:basedOn w:val="Heading3"/>
    <w:next w:val="Normal"/>
    <w:uiPriority w:val="39"/>
    <w:unhideWhenUsed/>
    <w:qFormat/>
    <w:rsid w:val="00120D41"/>
  </w:style>
  <w:style w:type="character" w:styleId="PageNumber">
    <w:name w:val="page number"/>
    <w:basedOn w:val="DefaultParagraphFont"/>
    <w:uiPriority w:val="99"/>
    <w:semiHidden/>
    <w:unhideWhenUsed/>
    <w:rsid w:val="00365492"/>
  </w:style>
  <w:style w:type="paragraph" w:styleId="Title">
    <w:name w:val="Title"/>
    <w:basedOn w:val="Normal"/>
    <w:next w:val="Normal"/>
    <w:link w:val="TitleChar"/>
    <w:uiPriority w:val="10"/>
    <w:qFormat/>
    <w:rsid w:val="005075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5AA"/>
    <w:rPr>
      <w:rFonts w:asciiTheme="majorHAnsi" w:eastAsiaTheme="majorEastAsia" w:hAnsiTheme="majorHAnsi" w:cstheme="majorBidi"/>
      <w:spacing w:val="-10"/>
      <w:kern w:val="28"/>
      <w:sz w:val="56"/>
      <w:szCs w:val="56"/>
    </w:rPr>
  </w:style>
  <w:style w:type="paragraph" w:styleId="NoSpacing">
    <w:name w:val="No Spacing"/>
    <w:uiPriority w:val="1"/>
    <w:qFormat/>
    <w:rsid w:val="005075AA"/>
    <w:pPr>
      <w:spacing w:after="0" w:line="240" w:lineRule="auto"/>
    </w:pPr>
  </w:style>
  <w:style w:type="paragraph" w:styleId="Revision">
    <w:name w:val="Revision"/>
    <w:hidden/>
    <w:uiPriority w:val="99"/>
    <w:semiHidden/>
    <w:rsid w:val="006B1B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ccc.org/papers/handbook2015" TargetMode="External"/><Relationship Id="rId18" Type="http://schemas.openxmlformats.org/officeDocument/2006/relationships/hyperlink" Target="https://govt.westlaw.com/calregs/Document/I61F3AFC34C6911EC93A8000D3A7C4BC3?viewType=FullText&amp;originationContext=documenttoc&amp;transitionType=CategoryPageItem&amp;contextData=(sc.Default)" TargetMode="External"/><Relationship Id="rId26" Type="http://schemas.openxmlformats.org/officeDocument/2006/relationships/hyperlink" Target="https://legiscan.com/CA/text/AB1705/id/2609099" TargetMode="External"/><Relationship Id="rId3" Type="http://schemas.openxmlformats.org/officeDocument/2006/relationships/styles" Target="styles.xml"/><Relationship Id="rId21" Type="http://schemas.openxmlformats.org/officeDocument/2006/relationships/hyperlink" Target="https://govt.westlaw.com/calregs/Document/I628AE6B34C6911EC93A8000D3A7C4BC3?viewType=FullText&amp;originationContext=documenttoc&amp;transitionType=CategoryPageItem&amp;contextData=(sc.Default)&amp;bhcp=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sccc.org" TargetMode="External"/><Relationship Id="rId17" Type="http://schemas.openxmlformats.org/officeDocument/2006/relationships/hyperlink" Target="https://govt.westlaw.com/calregs/Browse/Home/California/CaliforniaCodeofRegulations?transitionType=Default&amp;contextData=%28sc.Default%29" TargetMode="External"/><Relationship Id="rId25" Type="http://schemas.openxmlformats.org/officeDocument/2006/relationships/hyperlink" Target="https://www.cccstudentmentalhealth.org/" TargetMode="External"/><Relationship Id="rId33" Type="http://schemas.openxmlformats.org/officeDocument/2006/relationships/hyperlink" Target="http://www.asccc.org/" TargetMode="External"/><Relationship Id="rId2" Type="http://schemas.openxmlformats.org/officeDocument/2006/relationships/numbering" Target="numbering.xml"/><Relationship Id="rId16" Type="http://schemas.openxmlformats.org/officeDocument/2006/relationships/hyperlink" Target="https://leginfo.legislature.ca.gov/faces/home.xhtml" TargetMode="External"/><Relationship Id="rId20" Type="http://schemas.openxmlformats.org/officeDocument/2006/relationships/hyperlink" Target="https://www.wscuc.org/handbook2023/" TargetMode="External"/><Relationship Id="rId29" Type="http://schemas.openxmlformats.org/officeDocument/2006/relationships/hyperlink" Target="https://www.asccc.org/sites/default/files/CounselingS12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cc.org/resolutions-process" TargetMode="External"/><Relationship Id="rId24" Type="http://schemas.openxmlformats.org/officeDocument/2006/relationships/hyperlink" Target="https://www.cccstudentmentalhealth.org/" TargetMode="External"/><Relationship Id="rId32" Type="http://schemas.openxmlformats.org/officeDocument/2006/relationships/hyperlink" Target="mailto:info@asccc.org" TargetMode="External"/><Relationship Id="rId5" Type="http://schemas.openxmlformats.org/officeDocument/2006/relationships/webSettings" Target="webSettings.xml"/><Relationship Id="rId15" Type="http://schemas.openxmlformats.org/officeDocument/2006/relationships/hyperlink" Target="https://asccc.org/resolutions-handbook-publication" TargetMode="External"/><Relationship Id="rId23"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28" Type="http://schemas.openxmlformats.org/officeDocument/2006/relationships/hyperlink" Target="https://www.cccco.edu/About-Us/Vision-2030"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accjc.org/wp-content/uploads/ACCJC-2024-Accreditation-Standards-with-Review-Criteria-Evidence.pdf" TargetMode="External"/><Relationship Id="rId31" Type="http://schemas.openxmlformats.org/officeDocument/2006/relationships/hyperlink" Target="https://nam04.safelinks.protection.outlook.com/?url=https%3A%2F%2Fasccc.org%2Fsites%2Fdefault%2Ffiles%2F2024-10%2FASCCC%2520Bylaws%2520Carryover%2520Edits%2520and%2520New%2520Comments%2520Final.docx&amp;data=05%7C02%7Cstewarrl%40lasc.edu%7C52609c8c968b413bf4a208dce7e0b0b4%7C0b71261a495f4ea99911da844b9402ef%7C0%7C0%7C638640199930825393%7CUnknown%7CTWFpbGZsb3d8eyJWIjoiMC4wLjAwMDAiLCJQIjoiV2luMzIiLCJBTiI6Ik1haWwiLCJXVCI6Mn0%3D%7C0%7C%7C%7C&amp;sdata=YrFCuo%2BUjHKB%2BNkfib8metK0RUg86V%2BSjrSMX034k3k%3D&amp;reserved=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ccc.org/resolutions-handbook-publication" TargetMode="External"/><Relationship Id="rId22" Type="http://schemas.openxmlformats.org/officeDocument/2006/relationships/hyperlink" Target="https://govt.westlaw.com/calregs/Document/I628AE6B34C6911EC93A8000D3A7C4BC3?viewType=FullText&amp;originationContext=documenttoc&amp;transitionType=CategoryPageItem&amp;contextData=(sc.Default)&amp;bhcp=1" TargetMode="External"/><Relationship Id="rId27" Type="http://schemas.openxmlformats.org/officeDocument/2006/relationships/hyperlink" Target="https://www.cccco.edu/College-Professionals/Guided-Pathways" TargetMode="External"/><Relationship Id="rId30" Type="http://schemas.openxmlformats.org/officeDocument/2006/relationships/hyperlink" Target="https://nam04.safelinks.protection.outlook.com/?url=https%3A%2F%2Fasccc.org%2Fsites%2Fdefault%2Ffiles%2F2024-10%2FASCCC%2520Rules%2520Carryover%2520Edits%2520and%2520New%2520Comments%2520Final.docx&amp;data=05%7C02%7Cstewarrl%40lasc.edu%7C52609c8c968b413bf4a208dce7e0b0b4%7C0b71261a495f4ea99911da844b9402ef%7C0%7C0%7C638640199930847197%7CUnknown%7CTWFpbGZsb3d8eyJWIjoiMC4wLjAwMDAiLCJQIjoiV2luMzIiLCJBTiI6Ik1haWwiLCJXVCI6Mn0%3D%7C0%7C%7C%7C&amp;sdata=3gAhUf0Y0AvcODiqcb16cKItIkyswwW6Te%2F2pAyIsVQ%3D&amp;reserved=0" TargetMode="External"/><Relationship Id="rId35" Type="http://schemas.openxmlformats.org/officeDocument/2006/relationships/fontTable" Target="fontTable.xml"/><Relationship Id="rId8"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legiscan.com/CA/text/AB1705/id/2609099" TargetMode="External"/><Relationship Id="rId13" Type="http://schemas.openxmlformats.org/officeDocument/2006/relationships/hyperlink" Target="https://nam04.safelinks.protection.outlook.com/?url=https%3A%2F%2Fasccc.org%2Fsites%2Fdefault%2Ffiles%2F2024-10%2FASCCC%2520Bylaws%2520Carryover%2520Edits%2520and%2520New%2520Comments%2520Final.docx&amp;data=05%7C02%7Cstewarrl%40lasc.edu%7C52609c8c968b413bf4a208dce7e0b0b4%7C0b71261a495f4ea99911da844b9402ef%7C0%7C0%7C638640199930825393%7CUnknown%7CTWFpbGZsb3d8eyJWIjoiMC4wLjAwMDAiLCJQIjoiV2luMzIiLCJBTiI6Ik1haWwiLCJXVCI6Mn0%3D%7C0%7C%7C%7C&amp;sdata=YrFCuo%2BUjHKB%2BNkfib8metK0RUg86V%2BSjrSMX034k3k%3D&amp;reserved=0" TargetMode="External"/><Relationship Id="rId3" Type="http://schemas.openxmlformats.org/officeDocument/2006/relationships/hyperlink" Target="https://www.wscuc.org/handbook2023/" TargetMode="External"/><Relationship Id="rId7" Type="http://schemas.openxmlformats.org/officeDocument/2006/relationships/hyperlink" Target="https://codes.findlaw.com/ca/education-code/edc-sect-78213/" TargetMode="External"/><Relationship Id="rId12" Type="http://schemas.openxmlformats.org/officeDocument/2006/relationships/hyperlink" Target="https://nam04.safelinks.protection.outlook.com/?url=https%3A%2F%2Fasccc.org%2Fsites%2Fdefault%2Ffiles%2F2024-10%2FASCCC%2520Rules%2520Carryover%2520Edits%2520and%2520New%2520Comments%2520Final.docx&amp;data=05%7C02%7Cstewarrl%40lasc.edu%7C52609c8c968b413bf4a208dce7e0b0b4%7C0b71261a495f4ea99911da844b9402ef%7C0%7C0%7C638640199930847197%7CUnknown%7CTWFpbGZsb3d8eyJWIjoiMC4wLjAwMDAiLCJQIjoiV2luMzIiLCJBTiI6Ik1haWwiLCJXVCI6Mn0%3D%7C0%7C%7C%7C&amp;sdata=3gAhUf0Y0AvcODiqcb16cKItIkyswwW6Te%2F2pAyIsVQ%3D&amp;reserved=0" TargetMode="External"/><Relationship Id="rId2" Type="http://schemas.openxmlformats.org/officeDocument/2006/relationships/hyperlink" Target="https://accjc.org/wp-content/uploads/ACCJC-2024-Accreditation-Standards-with-Review-Criteria-Evidence.pdf" TargetMode="External"/><Relationship Id="rId1" Type="http://schemas.openxmlformats.org/officeDocument/2006/relationships/hyperlink" Target="https://govt.westlaw.com/calregs/Document/I61F3AFC34C6911EC93A8000D3A7C4BC3?viewType=FullText&amp;originationContext=documenttoc&amp;transitionType=CategoryPageItem&amp;contextData=(sc.Default)" TargetMode="External"/><Relationship Id="rId6" Type="http://schemas.openxmlformats.org/officeDocument/2006/relationships/hyperlink" Target="https://www.cccstudentmentalhealth.org/" TargetMode="External"/><Relationship Id="rId11" Type="http://schemas.openxmlformats.org/officeDocument/2006/relationships/hyperlink" Target="https://www.asccc.org/sites/default/files/CounselingS12_0.pdf" TargetMode="External"/><Relationship Id="rId5"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10" Type="http://schemas.openxmlformats.org/officeDocument/2006/relationships/hyperlink" Target="https://www.cccco.edu/About-Us/Vision-2030" TargetMode="External"/><Relationship Id="rId4" Type="http://schemas.openxmlformats.org/officeDocument/2006/relationships/hyperlink" Target="https://govt.westlaw.com/calregs/Document/I628AE6B34C6911EC93A8000D3A7C4BC3?viewType=FullText&amp;originationContext=documenttoc&amp;transitionType=CategoryPageItem&amp;contextData=(sc.Default)&amp;bhcp=1" TargetMode="External"/><Relationship Id="rId9" Type="http://schemas.openxmlformats.org/officeDocument/2006/relationships/hyperlink" Target="https://www.cccco.edu/College-Professionals/Guided-Pathways" TargetMode="External"/></Relationships>
</file>

<file path=word/theme/theme1.xml><?xml version="1.0" encoding="utf-8"?>
<a:theme xmlns:a="http://schemas.openxmlformats.org/drawingml/2006/main" name="ASCCC Theme">
  <a:themeElements>
    <a:clrScheme name="ASCCC Brand 2">
      <a:dk1>
        <a:srgbClr val="044C7F"/>
      </a:dk1>
      <a:lt1>
        <a:srgbClr val="FFFFFF"/>
      </a:lt1>
      <a:dk2>
        <a:srgbClr val="044C7F"/>
      </a:dk2>
      <a:lt2>
        <a:srgbClr val="E7E6E6"/>
      </a:lt2>
      <a:accent1>
        <a:srgbClr val="8955A5"/>
      </a:accent1>
      <a:accent2>
        <a:srgbClr val="24B7A9"/>
      </a:accent2>
      <a:accent3>
        <a:srgbClr val="4983C3"/>
      </a:accent3>
      <a:accent4>
        <a:srgbClr val="B92083"/>
      </a:accent4>
      <a:accent5>
        <a:srgbClr val="F05A28"/>
      </a:accent5>
      <a:accent6>
        <a:srgbClr val="04A193"/>
      </a:accent6>
      <a:hlink>
        <a:srgbClr val="0A5489"/>
      </a:hlink>
      <a:folHlink>
        <a:srgbClr val="006C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A966-EA1B-4A36-B372-8680E0E6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ASCCC Document 2023</vt:lpstr>
    </vt:vector>
  </TitlesOfParts>
  <Manager/>
  <Company>ASCCC</Company>
  <LinksUpToDate>false</LinksUpToDate>
  <CharactersWithSpaces>18407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ASCCC Document 2023</dc:title>
  <dc:subject/>
  <dc:creator>ASCCC</dc:creator>
  <cp:keywords/>
  <dc:description/>
  <cp:lastModifiedBy>Krystinne Mica</cp:lastModifiedBy>
  <cp:revision>8</cp:revision>
  <cp:lastPrinted>2021-06-25T18:11:00Z</cp:lastPrinted>
  <dcterms:created xsi:type="dcterms:W3CDTF">2024-10-11T16:08:00Z</dcterms:created>
  <dcterms:modified xsi:type="dcterms:W3CDTF">2024-10-11T18:53:00Z</dcterms:modified>
  <cp:category/>
</cp:coreProperties>
</file>