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4FF2A" w14:textId="324B4661" w:rsidR="005D46B3" w:rsidRDefault="009F0FFC" w:rsidP="009F0FFC">
      <w:pPr>
        <w:jc w:val="center"/>
      </w:pPr>
      <w:r>
        <w:rPr>
          <w:noProof/>
          <w:sz w:val="20"/>
        </w:rPr>
        <w:drawing>
          <wp:inline distT="0" distB="0" distL="0" distR="0" wp14:anchorId="020E95D9" wp14:editId="33B83709">
            <wp:extent cx="3603004" cy="905255"/>
            <wp:effectExtent l="0" t="0" r="0" b="9525"/>
            <wp:docPr id="1" name="image1.jpeg" descr="Academic Senate for California Colleges logo with a partially open book and multi-color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cademic Senate for California Colleges logo with a partially open book and multi-color background."/>
                    <pic:cNvPicPr/>
                  </pic:nvPicPr>
                  <pic:blipFill>
                    <a:blip r:embed="rId8">
                      <a:extLst>
                        <a:ext uri="{28A0092B-C50C-407E-A947-70E740481C1C}">
                          <a14:useLocalDpi xmlns:a14="http://schemas.microsoft.com/office/drawing/2010/main" val="0"/>
                        </a:ext>
                      </a:extLst>
                    </a:blip>
                    <a:stretch>
                      <a:fillRect/>
                    </a:stretch>
                  </pic:blipFill>
                  <pic:spPr>
                    <a:xfrm>
                      <a:off x="0" y="0"/>
                      <a:ext cx="3603004" cy="905255"/>
                    </a:xfrm>
                    <a:prstGeom prst="rect">
                      <a:avLst/>
                    </a:prstGeom>
                  </pic:spPr>
                </pic:pic>
              </a:graphicData>
            </a:graphic>
          </wp:inline>
        </w:drawing>
      </w:r>
    </w:p>
    <w:p w14:paraId="4DBF0679" w14:textId="77777777" w:rsidR="00BF1BF5" w:rsidRDefault="00BF1BF5" w:rsidP="009F0FFC">
      <w:pPr>
        <w:jc w:val="center"/>
      </w:pPr>
    </w:p>
    <w:p w14:paraId="1B8B439C" w14:textId="77777777" w:rsidR="00BF1BF5" w:rsidRDefault="00BF1BF5" w:rsidP="009F0FFC">
      <w:pPr>
        <w:jc w:val="center"/>
      </w:pPr>
    </w:p>
    <w:p w14:paraId="43EDF4B2" w14:textId="0E4E1D2C" w:rsidR="00BF1BF5" w:rsidRPr="00195DC3" w:rsidRDefault="00507BD7" w:rsidP="00507BD7">
      <w:pPr>
        <w:pStyle w:val="Title"/>
        <w:jc w:val="center"/>
        <w:rPr>
          <w:b/>
          <w:bCs/>
        </w:rPr>
      </w:pPr>
      <w:r w:rsidRPr="00195DC3">
        <w:rPr>
          <w:b/>
          <w:bCs/>
        </w:rPr>
        <w:t>202</w:t>
      </w:r>
      <w:r w:rsidR="00D764FB" w:rsidRPr="00195DC3">
        <w:rPr>
          <w:b/>
          <w:bCs/>
        </w:rPr>
        <w:t>4</w:t>
      </w:r>
      <w:r w:rsidRPr="00195DC3">
        <w:rPr>
          <w:b/>
          <w:bCs/>
        </w:rPr>
        <w:t xml:space="preserve"> </w:t>
      </w:r>
      <w:r w:rsidR="00D764FB" w:rsidRPr="00195DC3">
        <w:rPr>
          <w:b/>
          <w:bCs/>
        </w:rPr>
        <w:t>Spring</w:t>
      </w:r>
      <w:r w:rsidRPr="00195DC3">
        <w:rPr>
          <w:b/>
          <w:bCs/>
        </w:rPr>
        <w:t xml:space="preserve"> Plenary Session</w:t>
      </w:r>
    </w:p>
    <w:p w14:paraId="750839B0" w14:textId="77777777" w:rsidR="00507BD7" w:rsidRPr="00195DC3" w:rsidRDefault="00507BD7" w:rsidP="00507BD7">
      <w:pPr>
        <w:rPr>
          <w:b/>
          <w:bCs/>
        </w:rPr>
      </w:pPr>
    </w:p>
    <w:p w14:paraId="4AD112EE" w14:textId="74B265F9" w:rsidR="00507BD7" w:rsidRPr="00195DC3" w:rsidRDefault="00DF69D4" w:rsidP="00507BD7">
      <w:pPr>
        <w:jc w:val="center"/>
        <w:rPr>
          <w:rFonts w:asciiTheme="majorHAnsi" w:hAnsiTheme="majorHAnsi" w:cstheme="majorHAnsi"/>
          <w:b/>
          <w:bCs/>
          <w:sz w:val="40"/>
          <w:szCs w:val="40"/>
        </w:rPr>
      </w:pPr>
      <w:r w:rsidRPr="00195DC3">
        <w:rPr>
          <w:rFonts w:asciiTheme="majorHAnsi" w:hAnsiTheme="majorHAnsi" w:cstheme="majorHAnsi"/>
          <w:b/>
          <w:bCs/>
          <w:sz w:val="40"/>
          <w:szCs w:val="40"/>
        </w:rPr>
        <w:t>Adopted Resolutions</w:t>
      </w:r>
    </w:p>
    <w:p w14:paraId="63F52B52" w14:textId="77777777" w:rsidR="00507BD7" w:rsidRDefault="00507BD7" w:rsidP="00507BD7">
      <w:pPr>
        <w:rPr>
          <w:rFonts w:asciiTheme="majorHAnsi" w:hAnsiTheme="majorHAnsi" w:cstheme="majorHAnsi"/>
          <w:sz w:val="40"/>
          <w:szCs w:val="40"/>
        </w:rPr>
      </w:pPr>
    </w:p>
    <w:p w14:paraId="1FD6516C" w14:textId="77777777" w:rsidR="00DF69D4" w:rsidRDefault="00DF69D4" w:rsidP="00507BD7">
      <w:pPr>
        <w:rPr>
          <w:rFonts w:asciiTheme="majorHAnsi" w:hAnsiTheme="majorHAnsi" w:cstheme="majorHAnsi"/>
          <w:sz w:val="40"/>
          <w:szCs w:val="40"/>
        </w:rPr>
      </w:pPr>
    </w:p>
    <w:p w14:paraId="685CD881" w14:textId="77777777" w:rsidR="00690BE3" w:rsidRDefault="00690BE3" w:rsidP="00507BD7">
      <w:pPr>
        <w:rPr>
          <w:rFonts w:asciiTheme="majorHAnsi" w:hAnsiTheme="majorHAnsi" w:cstheme="majorHAnsi"/>
          <w:sz w:val="40"/>
          <w:szCs w:val="40"/>
        </w:rPr>
      </w:pPr>
    </w:p>
    <w:p w14:paraId="29579281" w14:textId="77777777" w:rsidR="009D3B05" w:rsidRDefault="009D3B05" w:rsidP="00507BD7">
      <w:pPr>
        <w:rPr>
          <w:rFonts w:asciiTheme="majorHAnsi" w:hAnsiTheme="majorHAnsi" w:cstheme="majorHAnsi"/>
          <w:sz w:val="40"/>
          <w:szCs w:val="40"/>
        </w:rPr>
      </w:pPr>
    </w:p>
    <w:p w14:paraId="45861697" w14:textId="77777777" w:rsidR="009D3B05" w:rsidRDefault="009D3B05" w:rsidP="00507BD7">
      <w:pPr>
        <w:rPr>
          <w:rFonts w:asciiTheme="majorHAnsi" w:hAnsiTheme="majorHAnsi" w:cstheme="majorHAnsi"/>
          <w:sz w:val="40"/>
          <w:szCs w:val="40"/>
        </w:rPr>
      </w:pPr>
    </w:p>
    <w:p w14:paraId="3ADFA880" w14:textId="77777777" w:rsidR="009D3B05" w:rsidRDefault="009D3B05" w:rsidP="00507BD7">
      <w:pPr>
        <w:rPr>
          <w:rFonts w:asciiTheme="majorHAnsi" w:hAnsiTheme="majorHAnsi" w:cstheme="majorHAnsi"/>
          <w:sz w:val="40"/>
          <w:szCs w:val="40"/>
        </w:rPr>
      </w:pPr>
    </w:p>
    <w:p w14:paraId="26218E79" w14:textId="2F94840A" w:rsidR="00151F50" w:rsidRPr="007538E9" w:rsidRDefault="00D03667" w:rsidP="007538E9">
      <w:pPr>
        <w:spacing w:after="0"/>
        <w:rPr>
          <w:rFonts w:asciiTheme="majorHAnsi" w:hAnsiTheme="majorHAnsi" w:cstheme="majorHAnsi"/>
          <w:sz w:val="28"/>
          <w:szCs w:val="28"/>
        </w:rPr>
      </w:pPr>
      <w:r w:rsidRPr="007538E9">
        <w:rPr>
          <w:rFonts w:asciiTheme="majorHAnsi" w:hAnsiTheme="majorHAnsi" w:cstheme="majorHAnsi"/>
          <w:sz w:val="28"/>
          <w:szCs w:val="28"/>
        </w:rPr>
        <w:t>Resolutions Committee</w:t>
      </w:r>
    </w:p>
    <w:p w14:paraId="09CC7879" w14:textId="38E54E7B" w:rsidR="00D03667" w:rsidRPr="007538E9" w:rsidRDefault="00D03667" w:rsidP="007538E9">
      <w:pPr>
        <w:spacing w:after="0"/>
        <w:ind w:left="720"/>
        <w:rPr>
          <w:rFonts w:asciiTheme="majorHAnsi" w:hAnsiTheme="majorHAnsi" w:cstheme="majorHAnsi"/>
          <w:szCs w:val="24"/>
        </w:rPr>
      </w:pPr>
      <w:r w:rsidRPr="007538E9">
        <w:rPr>
          <w:rFonts w:asciiTheme="majorHAnsi" w:hAnsiTheme="majorHAnsi" w:cstheme="majorHAnsi"/>
          <w:szCs w:val="24"/>
        </w:rPr>
        <w:t xml:space="preserve">Erik </w:t>
      </w:r>
      <w:r w:rsidR="00BB4371">
        <w:rPr>
          <w:rFonts w:asciiTheme="majorHAnsi" w:hAnsiTheme="majorHAnsi" w:cstheme="majorHAnsi"/>
          <w:szCs w:val="24"/>
        </w:rPr>
        <w:t xml:space="preserve">D. </w:t>
      </w:r>
      <w:r w:rsidRPr="007538E9">
        <w:rPr>
          <w:rFonts w:asciiTheme="majorHAnsi" w:hAnsiTheme="majorHAnsi" w:cstheme="majorHAnsi"/>
          <w:szCs w:val="24"/>
        </w:rPr>
        <w:t xml:space="preserve">Reese, </w:t>
      </w:r>
      <w:r w:rsidR="00106AFD">
        <w:rPr>
          <w:rFonts w:asciiTheme="majorHAnsi" w:hAnsiTheme="majorHAnsi" w:cstheme="majorHAnsi"/>
          <w:szCs w:val="24"/>
        </w:rPr>
        <w:t xml:space="preserve">ASCCC Area C Representative and </w:t>
      </w:r>
      <w:r w:rsidRPr="007538E9">
        <w:rPr>
          <w:rFonts w:asciiTheme="majorHAnsi" w:hAnsiTheme="majorHAnsi" w:cstheme="majorHAnsi"/>
          <w:szCs w:val="24"/>
        </w:rPr>
        <w:t>ASCCC Resolutions Chair</w:t>
      </w:r>
    </w:p>
    <w:p w14:paraId="670C9C43" w14:textId="44F2B5B9" w:rsidR="00D03667" w:rsidRPr="007538E9" w:rsidRDefault="00D03667" w:rsidP="007538E9">
      <w:pPr>
        <w:spacing w:after="0"/>
        <w:ind w:left="720"/>
        <w:rPr>
          <w:rFonts w:asciiTheme="majorHAnsi" w:hAnsiTheme="majorHAnsi" w:cstheme="majorHAnsi"/>
          <w:szCs w:val="24"/>
        </w:rPr>
      </w:pPr>
      <w:r w:rsidRPr="007538E9">
        <w:rPr>
          <w:rFonts w:asciiTheme="majorHAnsi" w:hAnsiTheme="majorHAnsi" w:cstheme="majorHAnsi"/>
          <w:szCs w:val="24"/>
        </w:rPr>
        <w:t>Robert L. Stewart, Jr</w:t>
      </w:r>
      <w:r w:rsidR="000C3CFA">
        <w:rPr>
          <w:rFonts w:asciiTheme="majorHAnsi" w:hAnsiTheme="majorHAnsi" w:cstheme="majorHAnsi"/>
          <w:szCs w:val="24"/>
        </w:rPr>
        <w:t>.</w:t>
      </w:r>
      <w:r w:rsidRPr="007538E9">
        <w:rPr>
          <w:rFonts w:asciiTheme="majorHAnsi" w:hAnsiTheme="majorHAnsi" w:cstheme="majorHAnsi"/>
          <w:szCs w:val="24"/>
        </w:rPr>
        <w:t xml:space="preserve">, </w:t>
      </w:r>
      <w:r w:rsidR="00106AFD">
        <w:rPr>
          <w:rFonts w:asciiTheme="majorHAnsi" w:hAnsiTheme="majorHAnsi" w:cstheme="majorHAnsi"/>
          <w:szCs w:val="24"/>
        </w:rPr>
        <w:t xml:space="preserve">ASCCC Treasurer and </w:t>
      </w:r>
      <w:r w:rsidRPr="007538E9">
        <w:rPr>
          <w:rFonts w:asciiTheme="majorHAnsi" w:hAnsiTheme="majorHAnsi" w:cstheme="majorHAnsi"/>
          <w:szCs w:val="24"/>
        </w:rPr>
        <w:t>ASCCC Resolutions Second Chair</w:t>
      </w:r>
    </w:p>
    <w:p w14:paraId="36B29691" w14:textId="51A86AB6" w:rsidR="007538E9" w:rsidRPr="007538E9" w:rsidRDefault="007538E9" w:rsidP="007538E9">
      <w:pPr>
        <w:spacing w:after="0"/>
        <w:ind w:left="720"/>
        <w:rPr>
          <w:rFonts w:asciiTheme="majorHAnsi" w:hAnsiTheme="majorHAnsi" w:cstheme="majorHAnsi"/>
          <w:szCs w:val="24"/>
        </w:rPr>
      </w:pPr>
      <w:r w:rsidRPr="007538E9">
        <w:rPr>
          <w:rFonts w:asciiTheme="majorHAnsi" w:hAnsiTheme="majorHAnsi" w:cstheme="majorHAnsi"/>
          <w:szCs w:val="24"/>
        </w:rPr>
        <w:t>Davena Burns-Peters, San Berna</w:t>
      </w:r>
      <w:r w:rsidR="005D7597">
        <w:rPr>
          <w:rFonts w:asciiTheme="majorHAnsi" w:hAnsiTheme="majorHAnsi" w:cstheme="majorHAnsi"/>
          <w:szCs w:val="24"/>
        </w:rPr>
        <w:t>r</w:t>
      </w:r>
      <w:r w:rsidRPr="007538E9">
        <w:rPr>
          <w:rFonts w:asciiTheme="majorHAnsi" w:hAnsiTheme="majorHAnsi" w:cstheme="majorHAnsi"/>
          <w:szCs w:val="24"/>
        </w:rPr>
        <w:t>dino Valley College, Area D</w:t>
      </w:r>
    </w:p>
    <w:p w14:paraId="54B9A749" w14:textId="1E35BB8A" w:rsidR="00D03667" w:rsidRDefault="00D03667" w:rsidP="007538E9">
      <w:pPr>
        <w:spacing w:after="0"/>
        <w:ind w:left="720"/>
        <w:rPr>
          <w:rFonts w:asciiTheme="majorHAnsi" w:hAnsiTheme="majorHAnsi" w:cstheme="majorHAnsi"/>
          <w:szCs w:val="24"/>
        </w:rPr>
      </w:pPr>
      <w:r w:rsidRPr="007538E9">
        <w:rPr>
          <w:rFonts w:asciiTheme="majorHAnsi" w:hAnsiTheme="majorHAnsi" w:cstheme="majorHAnsi"/>
          <w:szCs w:val="24"/>
        </w:rPr>
        <w:t>Mark Edward Osea, Mendocino College, Area B</w:t>
      </w:r>
    </w:p>
    <w:p w14:paraId="31806E21" w14:textId="122ECBFA" w:rsidR="00C82350" w:rsidRPr="007538E9" w:rsidRDefault="00C82350" w:rsidP="007538E9">
      <w:pPr>
        <w:spacing w:after="0"/>
        <w:ind w:left="720"/>
        <w:rPr>
          <w:rFonts w:asciiTheme="majorHAnsi" w:hAnsiTheme="majorHAnsi" w:cstheme="majorHAnsi"/>
          <w:szCs w:val="24"/>
        </w:rPr>
      </w:pPr>
      <w:r>
        <w:rPr>
          <w:rFonts w:asciiTheme="majorHAnsi" w:hAnsiTheme="majorHAnsi" w:cstheme="majorHAnsi"/>
          <w:szCs w:val="24"/>
        </w:rPr>
        <w:t>Krystinne Mica, ASCCC Executive Director</w:t>
      </w:r>
    </w:p>
    <w:p w14:paraId="3408B15F" w14:textId="77777777" w:rsidR="00151F50" w:rsidRDefault="00151F50" w:rsidP="00507BD7">
      <w:pPr>
        <w:rPr>
          <w:rFonts w:asciiTheme="majorHAnsi" w:hAnsiTheme="majorHAnsi" w:cstheme="majorHAnsi"/>
          <w:sz w:val="40"/>
          <w:szCs w:val="40"/>
        </w:rPr>
      </w:pPr>
    </w:p>
    <w:p w14:paraId="4E11413A" w14:textId="5CBECE89" w:rsidR="00151F50" w:rsidRDefault="00151F50" w:rsidP="00507BD7">
      <w:pPr>
        <w:rPr>
          <w:rFonts w:asciiTheme="majorHAnsi" w:hAnsiTheme="majorHAnsi" w:cstheme="majorHAnsi"/>
          <w:sz w:val="40"/>
          <w:szCs w:val="40"/>
        </w:rPr>
      </w:pPr>
    </w:p>
    <w:p w14:paraId="2F3282D9" w14:textId="77777777" w:rsidR="00151F50" w:rsidRDefault="00151F50" w:rsidP="00507BD7">
      <w:pPr>
        <w:rPr>
          <w:rFonts w:asciiTheme="majorHAnsi" w:hAnsiTheme="majorHAnsi" w:cstheme="majorHAnsi"/>
          <w:sz w:val="40"/>
          <w:szCs w:val="40"/>
        </w:rPr>
      </w:pPr>
    </w:p>
    <w:bookmarkStart w:id="0" w:name="_Toc165038222" w:displacedByCustomXml="next"/>
    <w:sdt>
      <w:sdtPr>
        <w:rPr>
          <w:rFonts w:asciiTheme="majorHAnsi" w:eastAsiaTheme="minorEastAsia" w:hAnsiTheme="majorHAnsi" w:cstheme="majorHAnsi"/>
          <w:b w:val="0"/>
          <w:bCs/>
          <w:sz w:val="32"/>
          <w:szCs w:val="22"/>
        </w:rPr>
        <w:id w:val="-19400138"/>
        <w:docPartObj>
          <w:docPartGallery w:val="Table of Contents"/>
          <w:docPartUnique/>
        </w:docPartObj>
      </w:sdtPr>
      <w:sdtEndPr>
        <w:rPr>
          <w:rFonts w:asciiTheme="minorHAnsi" w:hAnsiTheme="minorHAnsi" w:cstheme="minorBidi"/>
          <w:b/>
          <w:noProof/>
          <w:sz w:val="24"/>
        </w:rPr>
      </w:sdtEndPr>
      <w:sdtContent>
        <w:p w14:paraId="70EC27C9" w14:textId="7710AF4C" w:rsidR="004C3EFC" w:rsidRPr="00B36494" w:rsidRDefault="003B678A" w:rsidP="00B36494">
          <w:pPr>
            <w:pStyle w:val="Heading1"/>
            <w:jc w:val="center"/>
            <w:rPr>
              <w:rFonts w:asciiTheme="majorHAnsi" w:hAnsiTheme="majorHAnsi" w:cstheme="majorHAnsi"/>
              <w:b w:val="0"/>
              <w:bCs/>
              <w:sz w:val="32"/>
            </w:rPr>
          </w:pPr>
          <w:r>
            <w:rPr>
              <w:rFonts w:asciiTheme="majorHAnsi" w:hAnsiTheme="majorHAnsi" w:cstheme="majorHAnsi"/>
              <w:b w:val="0"/>
              <w:bCs/>
              <w:sz w:val="32"/>
            </w:rPr>
            <w:t>TABLE OF CONTENTS</w:t>
          </w:r>
          <w:bookmarkEnd w:id="0"/>
        </w:p>
        <w:p w14:paraId="11A3D165" w14:textId="509CF6DD" w:rsidR="004F4CD7" w:rsidRDefault="004C3EFC">
          <w:pPr>
            <w:pStyle w:val="TOC1"/>
            <w:tabs>
              <w:tab w:val="right" w:leader="dot" w:pos="9350"/>
            </w:tabs>
            <w:rPr>
              <w:noProof/>
              <w:sz w:val="22"/>
            </w:rPr>
          </w:pPr>
          <w:r>
            <w:fldChar w:fldCharType="begin"/>
          </w:r>
          <w:r>
            <w:instrText xml:space="preserve"> TOC \o "1-3" \h \z \u </w:instrText>
          </w:r>
          <w:r>
            <w:fldChar w:fldCharType="separate"/>
          </w:r>
          <w:hyperlink w:anchor="_Toc165038222" w:history="1">
            <w:r w:rsidR="004F4CD7" w:rsidRPr="00244A7F">
              <w:rPr>
                <w:rStyle w:val="Hyperlink"/>
                <w:rFonts w:asciiTheme="majorHAnsi" w:hAnsiTheme="majorHAnsi" w:cstheme="majorHAnsi"/>
                <w:bCs/>
                <w:noProof/>
              </w:rPr>
              <w:t>TABLE OF CONTENTS</w:t>
            </w:r>
            <w:r w:rsidR="004F4CD7">
              <w:rPr>
                <w:noProof/>
                <w:webHidden/>
              </w:rPr>
              <w:tab/>
            </w:r>
            <w:r w:rsidR="004F4CD7">
              <w:rPr>
                <w:noProof/>
                <w:webHidden/>
              </w:rPr>
              <w:fldChar w:fldCharType="begin"/>
            </w:r>
            <w:r w:rsidR="004F4CD7">
              <w:rPr>
                <w:noProof/>
                <w:webHidden/>
              </w:rPr>
              <w:instrText xml:space="preserve"> PAGEREF _Toc165038222 \h </w:instrText>
            </w:r>
            <w:r w:rsidR="004F4CD7">
              <w:rPr>
                <w:noProof/>
                <w:webHidden/>
              </w:rPr>
            </w:r>
            <w:r w:rsidR="004F4CD7">
              <w:rPr>
                <w:noProof/>
                <w:webHidden/>
              </w:rPr>
              <w:fldChar w:fldCharType="separate"/>
            </w:r>
            <w:r w:rsidR="004F4CD7">
              <w:rPr>
                <w:noProof/>
                <w:webHidden/>
              </w:rPr>
              <w:t>2</w:t>
            </w:r>
            <w:r w:rsidR="004F4CD7">
              <w:rPr>
                <w:noProof/>
                <w:webHidden/>
              </w:rPr>
              <w:fldChar w:fldCharType="end"/>
            </w:r>
          </w:hyperlink>
        </w:p>
        <w:p w14:paraId="54A4D79F" w14:textId="1CB2B25A" w:rsidR="004F4CD7" w:rsidRDefault="00000000">
          <w:pPr>
            <w:pStyle w:val="TOC1"/>
            <w:tabs>
              <w:tab w:val="right" w:leader="dot" w:pos="9350"/>
            </w:tabs>
            <w:rPr>
              <w:noProof/>
              <w:sz w:val="22"/>
            </w:rPr>
          </w:pPr>
          <w:hyperlink w:anchor="_Toc165038223" w:history="1">
            <w:r w:rsidR="004F4CD7" w:rsidRPr="00244A7F">
              <w:rPr>
                <w:rStyle w:val="Hyperlink"/>
                <w:bCs/>
                <w:noProof/>
              </w:rPr>
              <w:t>RECORDING RESOLUTIONS VOTING</w:t>
            </w:r>
            <w:r w:rsidR="004F4CD7">
              <w:rPr>
                <w:noProof/>
                <w:webHidden/>
              </w:rPr>
              <w:tab/>
            </w:r>
            <w:r w:rsidR="004F4CD7">
              <w:rPr>
                <w:noProof/>
                <w:webHidden/>
              </w:rPr>
              <w:fldChar w:fldCharType="begin"/>
            </w:r>
            <w:r w:rsidR="004F4CD7">
              <w:rPr>
                <w:noProof/>
                <w:webHidden/>
              </w:rPr>
              <w:instrText xml:space="preserve"> PAGEREF _Toc165038223 \h </w:instrText>
            </w:r>
            <w:r w:rsidR="004F4CD7">
              <w:rPr>
                <w:noProof/>
                <w:webHidden/>
              </w:rPr>
            </w:r>
            <w:r w:rsidR="004F4CD7">
              <w:rPr>
                <w:noProof/>
                <w:webHidden/>
              </w:rPr>
              <w:fldChar w:fldCharType="separate"/>
            </w:r>
            <w:r w:rsidR="004F4CD7">
              <w:rPr>
                <w:noProof/>
                <w:webHidden/>
              </w:rPr>
              <w:t>4</w:t>
            </w:r>
            <w:r w:rsidR="004F4CD7">
              <w:rPr>
                <w:noProof/>
                <w:webHidden/>
              </w:rPr>
              <w:fldChar w:fldCharType="end"/>
            </w:r>
          </w:hyperlink>
        </w:p>
        <w:p w14:paraId="52F0D6FC" w14:textId="432DF01B" w:rsidR="004F4CD7" w:rsidRDefault="00000000">
          <w:pPr>
            <w:pStyle w:val="TOC1"/>
            <w:tabs>
              <w:tab w:val="right" w:leader="dot" w:pos="9350"/>
            </w:tabs>
            <w:rPr>
              <w:noProof/>
              <w:sz w:val="22"/>
            </w:rPr>
          </w:pPr>
          <w:hyperlink w:anchor="_Toc165038224" w:history="1">
            <w:r w:rsidR="004F4CD7" w:rsidRPr="00244A7F">
              <w:rPr>
                <w:rStyle w:val="Hyperlink"/>
                <w:bCs/>
                <w:noProof/>
              </w:rPr>
              <w:t>NEW CATEGORIES PILOT</w:t>
            </w:r>
            <w:r w:rsidR="004F4CD7">
              <w:rPr>
                <w:noProof/>
                <w:webHidden/>
              </w:rPr>
              <w:tab/>
            </w:r>
            <w:r w:rsidR="004F4CD7">
              <w:rPr>
                <w:noProof/>
                <w:webHidden/>
              </w:rPr>
              <w:fldChar w:fldCharType="begin"/>
            </w:r>
            <w:r w:rsidR="004F4CD7">
              <w:rPr>
                <w:noProof/>
                <w:webHidden/>
              </w:rPr>
              <w:instrText xml:space="preserve"> PAGEREF _Toc165038224 \h </w:instrText>
            </w:r>
            <w:r w:rsidR="004F4CD7">
              <w:rPr>
                <w:noProof/>
                <w:webHidden/>
              </w:rPr>
            </w:r>
            <w:r w:rsidR="004F4CD7">
              <w:rPr>
                <w:noProof/>
                <w:webHidden/>
              </w:rPr>
              <w:fldChar w:fldCharType="separate"/>
            </w:r>
            <w:r w:rsidR="004F4CD7">
              <w:rPr>
                <w:noProof/>
                <w:webHidden/>
              </w:rPr>
              <w:t>4</w:t>
            </w:r>
            <w:r w:rsidR="004F4CD7">
              <w:rPr>
                <w:noProof/>
                <w:webHidden/>
              </w:rPr>
              <w:fldChar w:fldCharType="end"/>
            </w:r>
          </w:hyperlink>
        </w:p>
        <w:p w14:paraId="7C7474C9" w14:textId="6AFCAA84" w:rsidR="004F4CD7" w:rsidRDefault="00000000">
          <w:pPr>
            <w:pStyle w:val="TOC1"/>
            <w:tabs>
              <w:tab w:val="right" w:leader="dot" w:pos="9350"/>
            </w:tabs>
            <w:rPr>
              <w:noProof/>
              <w:sz w:val="22"/>
            </w:rPr>
          </w:pPr>
          <w:hyperlink w:anchor="_Toc165038225" w:history="1">
            <w:r w:rsidR="004F4CD7" w:rsidRPr="00244A7F">
              <w:rPr>
                <w:rStyle w:val="Hyperlink"/>
                <w:noProof/>
              </w:rPr>
              <w:t>ADOPTED RESOLUTIONS</w:t>
            </w:r>
            <w:r w:rsidR="004F4CD7">
              <w:rPr>
                <w:noProof/>
                <w:webHidden/>
              </w:rPr>
              <w:tab/>
            </w:r>
            <w:r w:rsidR="004F4CD7">
              <w:rPr>
                <w:noProof/>
                <w:webHidden/>
              </w:rPr>
              <w:fldChar w:fldCharType="begin"/>
            </w:r>
            <w:r w:rsidR="004F4CD7">
              <w:rPr>
                <w:noProof/>
                <w:webHidden/>
              </w:rPr>
              <w:instrText xml:space="preserve"> PAGEREF _Toc165038225 \h </w:instrText>
            </w:r>
            <w:r w:rsidR="004F4CD7">
              <w:rPr>
                <w:noProof/>
                <w:webHidden/>
              </w:rPr>
            </w:r>
            <w:r w:rsidR="004F4CD7">
              <w:rPr>
                <w:noProof/>
                <w:webHidden/>
              </w:rPr>
              <w:fldChar w:fldCharType="separate"/>
            </w:r>
            <w:r w:rsidR="004F4CD7">
              <w:rPr>
                <w:noProof/>
                <w:webHidden/>
              </w:rPr>
              <w:t>5</w:t>
            </w:r>
            <w:r w:rsidR="004F4CD7">
              <w:rPr>
                <w:noProof/>
                <w:webHidden/>
              </w:rPr>
              <w:fldChar w:fldCharType="end"/>
            </w:r>
          </w:hyperlink>
        </w:p>
        <w:p w14:paraId="1AB12ACC" w14:textId="259B0ADF" w:rsidR="004F4CD7" w:rsidRDefault="00000000">
          <w:pPr>
            <w:pStyle w:val="TOC1"/>
            <w:tabs>
              <w:tab w:val="right" w:leader="dot" w:pos="9350"/>
            </w:tabs>
            <w:rPr>
              <w:noProof/>
              <w:sz w:val="22"/>
            </w:rPr>
          </w:pPr>
          <w:hyperlink w:anchor="_Toc165038226" w:history="1">
            <w:r w:rsidR="004F4CD7" w:rsidRPr="00244A7F">
              <w:rPr>
                <w:rStyle w:val="Hyperlink"/>
                <w:noProof/>
              </w:rPr>
              <w:t>101 CURRICULUM</w:t>
            </w:r>
            <w:r w:rsidR="004F4CD7">
              <w:rPr>
                <w:noProof/>
                <w:webHidden/>
              </w:rPr>
              <w:tab/>
            </w:r>
            <w:r w:rsidR="004F4CD7">
              <w:rPr>
                <w:noProof/>
                <w:webHidden/>
              </w:rPr>
              <w:fldChar w:fldCharType="begin"/>
            </w:r>
            <w:r w:rsidR="004F4CD7">
              <w:rPr>
                <w:noProof/>
                <w:webHidden/>
              </w:rPr>
              <w:instrText xml:space="preserve"> PAGEREF _Toc165038226 \h </w:instrText>
            </w:r>
            <w:r w:rsidR="004F4CD7">
              <w:rPr>
                <w:noProof/>
                <w:webHidden/>
              </w:rPr>
            </w:r>
            <w:r w:rsidR="004F4CD7">
              <w:rPr>
                <w:noProof/>
                <w:webHidden/>
              </w:rPr>
              <w:fldChar w:fldCharType="separate"/>
            </w:r>
            <w:r w:rsidR="004F4CD7">
              <w:rPr>
                <w:noProof/>
                <w:webHidden/>
              </w:rPr>
              <w:t>5</w:t>
            </w:r>
            <w:r w:rsidR="004F4CD7">
              <w:rPr>
                <w:noProof/>
                <w:webHidden/>
              </w:rPr>
              <w:fldChar w:fldCharType="end"/>
            </w:r>
          </w:hyperlink>
        </w:p>
        <w:p w14:paraId="19C39D9E" w14:textId="51CB8964" w:rsidR="004F4CD7" w:rsidRDefault="00000000">
          <w:pPr>
            <w:pStyle w:val="TOC2"/>
            <w:tabs>
              <w:tab w:val="right" w:leader="dot" w:pos="9350"/>
            </w:tabs>
            <w:rPr>
              <w:noProof/>
              <w:sz w:val="22"/>
            </w:rPr>
          </w:pPr>
          <w:hyperlink w:anchor="_Toc165038227" w:history="1">
            <w:r w:rsidR="004F4CD7" w:rsidRPr="00244A7F">
              <w:rPr>
                <w:rStyle w:val="Hyperlink"/>
                <w:noProof/>
                <w:lang w:val="en"/>
              </w:rPr>
              <w:t xml:space="preserve">101.01 S24 Update the 2017 Paper </w:t>
            </w:r>
            <w:r w:rsidR="004F4CD7" w:rsidRPr="00244A7F">
              <w:rPr>
                <w:rStyle w:val="Hyperlink"/>
                <w:i/>
                <w:iCs/>
                <w:noProof/>
                <w:lang w:val="en"/>
              </w:rPr>
              <w:t>The Course Outline of Record: A Curriculum Reference Guide Revisited</w:t>
            </w:r>
            <w:r w:rsidR="004F4CD7">
              <w:rPr>
                <w:noProof/>
                <w:webHidden/>
              </w:rPr>
              <w:tab/>
            </w:r>
            <w:r w:rsidR="004F4CD7">
              <w:rPr>
                <w:noProof/>
                <w:webHidden/>
              </w:rPr>
              <w:fldChar w:fldCharType="begin"/>
            </w:r>
            <w:r w:rsidR="004F4CD7">
              <w:rPr>
                <w:noProof/>
                <w:webHidden/>
              </w:rPr>
              <w:instrText xml:space="preserve"> PAGEREF _Toc165038227 \h </w:instrText>
            </w:r>
            <w:r w:rsidR="004F4CD7">
              <w:rPr>
                <w:noProof/>
                <w:webHidden/>
              </w:rPr>
            </w:r>
            <w:r w:rsidR="004F4CD7">
              <w:rPr>
                <w:noProof/>
                <w:webHidden/>
              </w:rPr>
              <w:fldChar w:fldCharType="separate"/>
            </w:r>
            <w:r w:rsidR="004F4CD7">
              <w:rPr>
                <w:noProof/>
                <w:webHidden/>
              </w:rPr>
              <w:t>5</w:t>
            </w:r>
            <w:r w:rsidR="004F4CD7">
              <w:rPr>
                <w:noProof/>
                <w:webHidden/>
              </w:rPr>
              <w:fldChar w:fldCharType="end"/>
            </w:r>
          </w:hyperlink>
        </w:p>
        <w:p w14:paraId="00827125" w14:textId="6F7D8262" w:rsidR="004F4CD7" w:rsidRDefault="00000000">
          <w:pPr>
            <w:pStyle w:val="TOC2"/>
            <w:tabs>
              <w:tab w:val="right" w:leader="dot" w:pos="9350"/>
            </w:tabs>
            <w:rPr>
              <w:noProof/>
              <w:sz w:val="22"/>
            </w:rPr>
          </w:pPr>
          <w:hyperlink w:anchor="_Toc165038228" w:history="1">
            <w:r w:rsidR="004F4CD7" w:rsidRPr="00244A7F">
              <w:rPr>
                <w:rStyle w:val="Hyperlink"/>
                <w:noProof/>
                <w:lang w:val="en"/>
              </w:rPr>
              <w:t>101.02 S24 Update the 2019 Paper </w:t>
            </w:r>
            <w:r w:rsidR="004F4CD7" w:rsidRPr="00244A7F">
              <w:rPr>
                <w:rStyle w:val="Hyperlink"/>
                <w:i/>
                <w:iCs/>
                <w:noProof/>
                <w:lang w:val="en"/>
              </w:rPr>
              <w:t>Work Based Learning in California Community Colleges</w:t>
            </w:r>
            <w:r w:rsidR="004F4CD7">
              <w:rPr>
                <w:noProof/>
                <w:webHidden/>
              </w:rPr>
              <w:tab/>
            </w:r>
            <w:r w:rsidR="004F4CD7">
              <w:rPr>
                <w:noProof/>
                <w:webHidden/>
              </w:rPr>
              <w:fldChar w:fldCharType="begin"/>
            </w:r>
            <w:r w:rsidR="004F4CD7">
              <w:rPr>
                <w:noProof/>
                <w:webHidden/>
              </w:rPr>
              <w:instrText xml:space="preserve"> PAGEREF _Toc165038228 \h </w:instrText>
            </w:r>
            <w:r w:rsidR="004F4CD7">
              <w:rPr>
                <w:noProof/>
                <w:webHidden/>
              </w:rPr>
            </w:r>
            <w:r w:rsidR="004F4CD7">
              <w:rPr>
                <w:noProof/>
                <w:webHidden/>
              </w:rPr>
              <w:fldChar w:fldCharType="separate"/>
            </w:r>
            <w:r w:rsidR="004F4CD7">
              <w:rPr>
                <w:noProof/>
                <w:webHidden/>
              </w:rPr>
              <w:t>6</w:t>
            </w:r>
            <w:r w:rsidR="004F4CD7">
              <w:rPr>
                <w:noProof/>
                <w:webHidden/>
              </w:rPr>
              <w:fldChar w:fldCharType="end"/>
            </w:r>
          </w:hyperlink>
        </w:p>
        <w:p w14:paraId="273B5B81" w14:textId="666F014F" w:rsidR="004F4CD7" w:rsidRDefault="00000000">
          <w:pPr>
            <w:pStyle w:val="TOC2"/>
            <w:tabs>
              <w:tab w:val="right" w:leader="dot" w:pos="9350"/>
            </w:tabs>
            <w:rPr>
              <w:noProof/>
              <w:sz w:val="22"/>
            </w:rPr>
          </w:pPr>
          <w:hyperlink w:anchor="_Toc165038229" w:history="1">
            <w:r w:rsidR="004F4CD7" w:rsidRPr="00244A7F">
              <w:rPr>
                <w:rStyle w:val="Hyperlink"/>
                <w:noProof/>
                <w:lang w:val="en"/>
              </w:rPr>
              <w:t>101.03 S24 Developing an ASCCC-Annotated Version of Program and Course Approval Handbook (PCAH)</w:t>
            </w:r>
            <w:r w:rsidR="004F4CD7">
              <w:rPr>
                <w:noProof/>
                <w:webHidden/>
              </w:rPr>
              <w:tab/>
            </w:r>
            <w:r w:rsidR="004F4CD7">
              <w:rPr>
                <w:noProof/>
                <w:webHidden/>
              </w:rPr>
              <w:fldChar w:fldCharType="begin"/>
            </w:r>
            <w:r w:rsidR="004F4CD7">
              <w:rPr>
                <w:noProof/>
                <w:webHidden/>
              </w:rPr>
              <w:instrText xml:space="preserve"> PAGEREF _Toc165038229 \h </w:instrText>
            </w:r>
            <w:r w:rsidR="004F4CD7">
              <w:rPr>
                <w:noProof/>
                <w:webHidden/>
              </w:rPr>
            </w:r>
            <w:r w:rsidR="004F4CD7">
              <w:rPr>
                <w:noProof/>
                <w:webHidden/>
              </w:rPr>
              <w:fldChar w:fldCharType="separate"/>
            </w:r>
            <w:r w:rsidR="004F4CD7">
              <w:rPr>
                <w:noProof/>
                <w:webHidden/>
              </w:rPr>
              <w:t>6</w:t>
            </w:r>
            <w:r w:rsidR="004F4CD7">
              <w:rPr>
                <w:noProof/>
                <w:webHidden/>
              </w:rPr>
              <w:fldChar w:fldCharType="end"/>
            </w:r>
          </w:hyperlink>
        </w:p>
        <w:p w14:paraId="2B322D25" w14:textId="081F45B5" w:rsidR="004F4CD7" w:rsidRDefault="00000000">
          <w:pPr>
            <w:pStyle w:val="TOC1"/>
            <w:tabs>
              <w:tab w:val="right" w:leader="dot" w:pos="9350"/>
            </w:tabs>
            <w:rPr>
              <w:noProof/>
              <w:sz w:val="22"/>
            </w:rPr>
          </w:pPr>
          <w:hyperlink w:anchor="_Toc165038230" w:history="1">
            <w:r w:rsidR="004F4CD7" w:rsidRPr="00244A7F">
              <w:rPr>
                <w:rStyle w:val="Hyperlink"/>
                <w:noProof/>
              </w:rPr>
              <w:t>102 DEGREE AND CERTIFICATE REQUIREMENTS</w:t>
            </w:r>
            <w:r w:rsidR="004F4CD7">
              <w:rPr>
                <w:noProof/>
                <w:webHidden/>
              </w:rPr>
              <w:tab/>
            </w:r>
            <w:r w:rsidR="004F4CD7">
              <w:rPr>
                <w:noProof/>
                <w:webHidden/>
              </w:rPr>
              <w:fldChar w:fldCharType="begin"/>
            </w:r>
            <w:r w:rsidR="004F4CD7">
              <w:rPr>
                <w:noProof/>
                <w:webHidden/>
              </w:rPr>
              <w:instrText xml:space="preserve"> PAGEREF _Toc165038230 \h </w:instrText>
            </w:r>
            <w:r w:rsidR="004F4CD7">
              <w:rPr>
                <w:noProof/>
                <w:webHidden/>
              </w:rPr>
            </w:r>
            <w:r w:rsidR="004F4CD7">
              <w:rPr>
                <w:noProof/>
                <w:webHidden/>
              </w:rPr>
              <w:fldChar w:fldCharType="separate"/>
            </w:r>
            <w:r w:rsidR="004F4CD7">
              <w:rPr>
                <w:noProof/>
                <w:webHidden/>
              </w:rPr>
              <w:t>9</w:t>
            </w:r>
            <w:r w:rsidR="004F4CD7">
              <w:rPr>
                <w:noProof/>
                <w:webHidden/>
              </w:rPr>
              <w:fldChar w:fldCharType="end"/>
            </w:r>
          </w:hyperlink>
        </w:p>
        <w:p w14:paraId="3EFABC25" w14:textId="1599AC7E" w:rsidR="004F4CD7" w:rsidRDefault="00000000">
          <w:pPr>
            <w:pStyle w:val="TOC2"/>
            <w:tabs>
              <w:tab w:val="right" w:leader="dot" w:pos="9350"/>
            </w:tabs>
            <w:rPr>
              <w:noProof/>
              <w:sz w:val="22"/>
            </w:rPr>
          </w:pPr>
          <w:hyperlink w:anchor="_Toc165038231" w:history="1">
            <w:r w:rsidR="004F4CD7" w:rsidRPr="00244A7F">
              <w:rPr>
                <w:rStyle w:val="Hyperlink"/>
                <w:noProof/>
                <w:lang w:val="en"/>
              </w:rPr>
              <w:t>102.01 S24 Cal-GETC, Catalog Rights, and Oral Communication Courses</w:t>
            </w:r>
            <w:r w:rsidR="004F4CD7">
              <w:rPr>
                <w:noProof/>
                <w:webHidden/>
              </w:rPr>
              <w:tab/>
            </w:r>
            <w:r w:rsidR="004F4CD7">
              <w:rPr>
                <w:noProof/>
                <w:webHidden/>
              </w:rPr>
              <w:fldChar w:fldCharType="begin"/>
            </w:r>
            <w:r w:rsidR="004F4CD7">
              <w:rPr>
                <w:noProof/>
                <w:webHidden/>
              </w:rPr>
              <w:instrText xml:space="preserve"> PAGEREF _Toc165038231 \h </w:instrText>
            </w:r>
            <w:r w:rsidR="004F4CD7">
              <w:rPr>
                <w:noProof/>
                <w:webHidden/>
              </w:rPr>
            </w:r>
            <w:r w:rsidR="004F4CD7">
              <w:rPr>
                <w:noProof/>
                <w:webHidden/>
              </w:rPr>
              <w:fldChar w:fldCharType="separate"/>
            </w:r>
            <w:r w:rsidR="004F4CD7">
              <w:rPr>
                <w:noProof/>
                <w:webHidden/>
              </w:rPr>
              <w:t>9</w:t>
            </w:r>
            <w:r w:rsidR="004F4CD7">
              <w:rPr>
                <w:noProof/>
                <w:webHidden/>
              </w:rPr>
              <w:fldChar w:fldCharType="end"/>
            </w:r>
          </w:hyperlink>
        </w:p>
        <w:p w14:paraId="3410B584" w14:textId="360CA291" w:rsidR="004F4CD7" w:rsidRDefault="00000000">
          <w:pPr>
            <w:pStyle w:val="TOC2"/>
            <w:tabs>
              <w:tab w:val="right" w:leader="dot" w:pos="9350"/>
            </w:tabs>
            <w:rPr>
              <w:noProof/>
              <w:sz w:val="22"/>
            </w:rPr>
          </w:pPr>
          <w:hyperlink w:anchor="_Toc165038232" w:history="1">
            <w:r w:rsidR="004F4CD7" w:rsidRPr="00244A7F">
              <w:rPr>
                <w:rStyle w:val="Hyperlink"/>
                <w:noProof/>
                <w:lang w:val="en"/>
              </w:rPr>
              <w:t>102.02 S24 Explore Opportunities and Challenges of a Modified Cal-GETC Subject Area 5</w:t>
            </w:r>
            <w:r w:rsidR="004F4CD7">
              <w:rPr>
                <w:noProof/>
                <w:webHidden/>
              </w:rPr>
              <w:tab/>
            </w:r>
            <w:r w:rsidR="004F4CD7">
              <w:rPr>
                <w:noProof/>
                <w:webHidden/>
              </w:rPr>
              <w:fldChar w:fldCharType="begin"/>
            </w:r>
            <w:r w:rsidR="004F4CD7">
              <w:rPr>
                <w:noProof/>
                <w:webHidden/>
              </w:rPr>
              <w:instrText xml:space="preserve"> PAGEREF _Toc165038232 \h </w:instrText>
            </w:r>
            <w:r w:rsidR="004F4CD7">
              <w:rPr>
                <w:noProof/>
                <w:webHidden/>
              </w:rPr>
            </w:r>
            <w:r w:rsidR="004F4CD7">
              <w:rPr>
                <w:noProof/>
                <w:webHidden/>
              </w:rPr>
              <w:fldChar w:fldCharType="separate"/>
            </w:r>
            <w:r w:rsidR="004F4CD7">
              <w:rPr>
                <w:noProof/>
                <w:webHidden/>
              </w:rPr>
              <w:t>9</w:t>
            </w:r>
            <w:r w:rsidR="004F4CD7">
              <w:rPr>
                <w:noProof/>
                <w:webHidden/>
              </w:rPr>
              <w:fldChar w:fldCharType="end"/>
            </w:r>
          </w:hyperlink>
        </w:p>
        <w:p w14:paraId="0010517D" w14:textId="41FE55A7" w:rsidR="004F4CD7" w:rsidRDefault="00000000">
          <w:pPr>
            <w:pStyle w:val="TOC2"/>
            <w:tabs>
              <w:tab w:val="right" w:leader="dot" w:pos="9350"/>
            </w:tabs>
            <w:rPr>
              <w:noProof/>
              <w:sz w:val="22"/>
            </w:rPr>
          </w:pPr>
          <w:hyperlink w:anchor="_Toc165038233" w:history="1">
            <w:r w:rsidR="004F4CD7" w:rsidRPr="00244A7F">
              <w:rPr>
                <w:rStyle w:val="Hyperlink"/>
                <w:noProof/>
                <w:lang w:val="en"/>
              </w:rPr>
              <w:t>102.03 S24 Partial Cal-GETC Certification for High-Unit STEM Majors</w:t>
            </w:r>
            <w:r w:rsidR="004F4CD7">
              <w:rPr>
                <w:noProof/>
                <w:webHidden/>
              </w:rPr>
              <w:tab/>
            </w:r>
            <w:r w:rsidR="004F4CD7">
              <w:rPr>
                <w:noProof/>
                <w:webHidden/>
              </w:rPr>
              <w:fldChar w:fldCharType="begin"/>
            </w:r>
            <w:r w:rsidR="004F4CD7">
              <w:rPr>
                <w:noProof/>
                <w:webHidden/>
              </w:rPr>
              <w:instrText xml:space="preserve"> PAGEREF _Toc165038233 \h </w:instrText>
            </w:r>
            <w:r w:rsidR="004F4CD7">
              <w:rPr>
                <w:noProof/>
                <w:webHidden/>
              </w:rPr>
            </w:r>
            <w:r w:rsidR="004F4CD7">
              <w:rPr>
                <w:noProof/>
                <w:webHidden/>
              </w:rPr>
              <w:fldChar w:fldCharType="separate"/>
            </w:r>
            <w:r w:rsidR="004F4CD7">
              <w:rPr>
                <w:noProof/>
                <w:webHidden/>
              </w:rPr>
              <w:t>10</w:t>
            </w:r>
            <w:r w:rsidR="004F4CD7">
              <w:rPr>
                <w:noProof/>
                <w:webHidden/>
              </w:rPr>
              <w:fldChar w:fldCharType="end"/>
            </w:r>
          </w:hyperlink>
        </w:p>
        <w:p w14:paraId="0D12D54C" w14:textId="413DEC9B" w:rsidR="004F4CD7" w:rsidRDefault="00000000">
          <w:pPr>
            <w:pStyle w:val="TOC2"/>
            <w:tabs>
              <w:tab w:val="right" w:leader="dot" w:pos="9350"/>
            </w:tabs>
            <w:rPr>
              <w:noProof/>
              <w:sz w:val="22"/>
            </w:rPr>
          </w:pPr>
          <w:hyperlink w:anchor="_Toc165038234" w:history="1">
            <w:r w:rsidR="004F4CD7" w:rsidRPr="00244A7F">
              <w:rPr>
                <w:rStyle w:val="Hyperlink"/>
                <w:noProof/>
              </w:rPr>
              <w:t>102.04 S24 Streamlining Transfer for STEM Majors</w:t>
            </w:r>
            <w:r w:rsidR="004F4CD7">
              <w:rPr>
                <w:noProof/>
                <w:webHidden/>
              </w:rPr>
              <w:tab/>
            </w:r>
            <w:r w:rsidR="004F4CD7">
              <w:rPr>
                <w:noProof/>
                <w:webHidden/>
              </w:rPr>
              <w:fldChar w:fldCharType="begin"/>
            </w:r>
            <w:r w:rsidR="004F4CD7">
              <w:rPr>
                <w:noProof/>
                <w:webHidden/>
              </w:rPr>
              <w:instrText xml:space="preserve"> PAGEREF _Toc165038234 \h </w:instrText>
            </w:r>
            <w:r w:rsidR="004F4CD7">
              <w:rPr>
                <w:noProof/>
                <w:webHidden/>
              </w:rPr>
            </w:r>
            <w:r w:rsidR="004F4CD7">
              <w:rPr>
                <w:noProof/>
                <w:webHidden/>
              </w:rPr>
              <w:fldChar w:fldCharType="separate"/>
            </w:r>
            <w:r w:rsidR="004F4CD7">
              <w:rPr>
                <w:noProof/>
                <w:webHidden/>
              </w:rPr>
              <w:t>12</w:t>
            </w:r>
            <w:r w:rsidR="004F4CD7">
              <w:rPr>
                <w:noProof/>
                <w:webHidden/>
              </w:rPr>
              <w:fldChar w:fldCharType="end"/>
            </w:r>
          </w:hyperlink>
        </w:p>
        <w:p w14:paraId="268D7085" w14:textId="2B4A7505" w:rsidR="004F4CD7" w:rsidRDefault="00000000">
          <w:pPr>
            <w:pStyle w:val="TOC1"/>
            <w:tabs>
              <w:tab w:val="right" w:leader="dot" w:pos="9350"/>
            </w:tabs>
            <w:rPr>
              <w:noProof/>
              <w:sz w:val="22"/>
            </w:rPr>
          </w:pPr>
          <w:hyperlink w:anchor="_Toc165038235" w:history="1">
            <w:r w:rsidR="004F4CD7" w:rsidRPr="00244A7F">
              <w:rPr>
                <w:rStyle w:val="Hyperlink"/>
                <w:noProof/>
              </w:rPr>
              <w:t>103 GRADING POLICIES</w:t>
            </w:r>
            <w:r w:rsidR="004F4CD7">
              <w:rPr>
                <w:noProof/>
                <w:webHidden/>
              </w:rPr>
              <w:tab/>
            </w:r>
            <w:r w:rsidR="004F4CD7">
              <w:rPr>
                <w:noProof/>
                <w:webHidden/>
              </w:rPr>
              <w:fldChar w:fldCharType="begin"/>
            </w:r>
            <w:r w:rsidR="004F4CD7">
              <w:rPr>
                <w:noProof/>
                <w:webHidden/>
              </w:rPr>
              <w:instrText xml:space="preserve"> PAGEREF _Toc165038235 \h </w:instrText>
            </w:r>
            <w:r w:rsidR="004F4CD7">
              <w:rPr>
                <w:noProof/>
                <w:webHidden/>
              </w:rPr>
            </w:r>
            <w:r w:rsidR="004F4CD7">
              <w:rPr>
                <w:noProof/>
                <w:webHidden/>
              </w:rPr>
              <w:fldChar w:fldCharType="separate"/>
            </w:r>
            <w:r w:rsidR="004F4CD7">
              <w:rPr>
                <w:noProof/>
                <w:webHidden/>
              </w:rPr>
              <w:t>14</w:t>
            </w:r>
            <w:r w:rsidR="004F4CD7">
              <w:rPr>
                <w:noProof/>
                <w:webHidden/>
              </w:rPr>
              <w:fldChar w:fldCharType="end"/>
            </w:r>
          </w:hyperlink>
        </w:p>
        <w:p w14:paraId="1B227062" w14:textId="03B5FAB9" w:rsidR="004F4CD7" w:rsidRDefault="00000000">
          <w:pPr>
            <w:pStyle w:val="TOC2"/>
            <w:tabs>
              <w:tab w:val="right" w:leader="dot" w:pos="9350"/>
            </w:tabs>
            <w:rPr>
              <w:noProof/>
              <w:sz w:val="22"/>
            </w:rPr>
          </w:pPr>
          <w:hyperlink w:anchor="_Toc165038236" w:history="1">
            <w:r w:rsidR="004F4CD7" w:rsidRPr="00244A7F">
              <w:rPr>
                <w:rStyle w:val="Hyperlink"/>
                <w:noProof/>
                <w:lang w:val="en"/>
              </w:rPr>
              <w:t>103.01 S24 Expanding Grading Options for Dual Enrollment Courses</w:t>
            </w:r>
            <w:r w:rsidR="004F4CD7">
              <w:rPr>
                <w:noProof/>
                <w:webHidden/>
              </w:rPr>
              <w:tab/>
            </w:r>
            <w:r w:rsidR="004F4CD7">
              <w:rPr>
                <w:noProof/>
                <w:webHidden/>
              </w:rPr>
              <w:fldChar w:fldCharType="begin"/>
            </w:r>
            <w:r w:rsidR="004F4CD7">
              <w:rPr>
                <w:noProof/>
                <w:webHidden/>
              </w:rPr>
              <w:instrText xml:space="preserve"> PAGEREF _Toc165038236 \h </w:instrText>
            </w:r>
            <w:r w:rsidR="004F4CD7">
              <w:rPr>
                <w:noProof/>
                <w:webHidden/>
              </w:rPr>
            </w:r>
            <w:r w:rsidR="004F4CD7">
              <w:rPr>
                <w:noProof/>
                <w:webHidden/>
              </w:rPr>
              <w:fldChar w:fldCharType="separate"/>
            </w:r>
            <w:r w:rsidR="004F4CD7">
              <w:rPr>
                <w:noProof/>
                <w:webHidden/>
              </w:rPr>
              <w:t>14</w:t>
            </w:r>
            <w:r w:rsidR="004F4CD7">
              <w:rPr>
                <w:noProof/>
                <w:webHidden/>
              </w:rPr>
              <w:fldChar w:fldCharType="end"/>
            </w:r>
          </w:hyperlink>
        </w:p>
        <w:p w14:paraId="133E2D9B" w14:textId="5DB35200" w:rsidR="004F4CD7" w:rsidRDefault="00000000">
          <w:pPr>
            <w:pStyle w:val="TOC1"/>
            <w:tabs>
              <w:tab w:val="right" w:leader="dot" w:pos="9350"/>
            </w:tabs>
            <w:rPr>
              <w:noProof/>
              <w:sz w:val="22"/>
            </w:rPr>
          </w:pPr>
          <w:hyperlink w:anchor="_Toc165038237" w:history="1">
            <w:r w:rsidR="004F4CD7" w:rsidRPr="00244A7F">
              <w:rPr>
                <w:rStyle w:val="Hyperlink"/>
                <w:noProof/>
              </w:rPr>
              <w:t>105 STUDENT PREPARATION AND SUCCESS</w:t>
            </w:r>
            <w:r w:rsidR="004F4CD7">
              <w:rPr>
                <w:noProof/>
                <w:webHidden/>
              </w:rPr>
              <w:tab/>
            </w:r>
            <w:r w:rsidR="004F4CD7">
              <w:rPr>
                <w:noProof/>
                <w:webHidden/>
              </w:rPr>
              <w:fldChar w:fldCharType="begin"/>
            </w:r>
            <w:r w:rsidR="004F4CD7">
              <w:rPr>
                <w:noProof/>
                <w:webHidden/>
              </w:rPr>
              <w:instrText xml:space="preserve"> PAGEREF _Toc165038237 \h </w:instrText>
            </w:r>
            <w:r w:rsidR="004F4CD7">
              <w:rPr>
                <w:noProof/>
                <w:webHidden/>
              </w:rPr>
            </w:r>
            <w:r w:rsidR="004F4CD7">
              <w:rPr>
                <w:noProof/>
                <w:webHidden/>
              </w:rPr>
              <w:fldChar w:fldCharType="separate"/>
            </w:r>
            <w:r w:rsidR="004F4CD7">
              <w:rPr>
                <w:noProof/>
                <w:webHidden/>
              </w:rPr>
              <w:t>15</w:t>
            </w:r>
            <w:r w:rsidR="004F4CD7">
              <w:rPr>
                <w:noProof/>
                <w:webHidden/>
              </w:rPr>
              <w:fldChar w:fldCharType="end"/>
            </w:r>
          </w:hyperlink>
        </w:p>
        <w:p w14:paraId="53684A28" w14:textId="488DCC3C" w:rsidR="004F4CD7" w:rsidRDefault="00000000">
          <w:pPr>
            <w:pStyle w:val="TOC2"/>
            <w:tabs>
              <w:tab w:val="right" w:leader="dot" w:pos="9350"/>
            </w:tabs>
            <w:rPr>
              <w:noProof/>
              <w:sz w:val="22"/>
            </w:rPr>
          </w:pPr>
          <w:hyperlink w:anchor="_Toc165038238" w:history="1">
            <w:r w:rsidR="004F4CD7" w:rsidRPr="00244A7F">
              <w:rPr>
                <w:rStyle w:val="Hyperlink"/>
                <w:noProof/>
                <w:lang w:val="en"/>
              </w:rPr>
              <w:t>105.01 S24 Align Approval and Completion of IGETC/Cal-GETC Courses with University of California Transfer Admission Requirements</w:t>
            </w:r>
            <w:r w:rsidR="004F4CD7">
              <w:rPr>
                <w:noProof/>
                <w:webHidden/>
              </w:rPr>
              <w:tab/>
            </w:r>
            <w:r w:rsidR="004F4CD7">
              <w:rPr>
                <w:noProof/>
                <w:webHidden/>
              </w:rPr>
              <w:fldChar w:fldCharType="begin"/>
            </w:r>
            <w:r w:rsidR="004F4CD7">
              <w:rPr>
                <w:noProof/>
                <w:webHidden/>
              </w:rPr>
              <w:instrText xml:space="preserve"> PAGEREF _Toc165038238 \h </w:instrText>
            </w:r>
            <w:r w:rsidR="004F4CD7">
              <w:rPr>
                <w:noProof/>
                <w:webHidden/>
              </w:rPr>
            </w:r>
            <w:r w:rsidR="004F4CD7">
              <w:rPr>
                <w:noProof/>
                <w:webHidden/>
              </w:rPr>
              <w:fldChar w:fldCharType="separate"/>
            </w:r>
            <w:r w:rsidR="004F4CD7">
              <w:rPr>
                <w:noProof/>
                <w:webHidden/>
              </w:rPr>
              <w:t>15</w:t>
            </w:r>
            <w:r w:rsidR="004F4CD7">
              <w:rPr>
                <w:noProof/>
                <w:webHidden/>
              </w:rPr>
              <w:fldChar w:fldCharType="end"/>
            </w:r>
          </w:hyperlink>
        </w:p>
        <w:p w14:paraId="62F1B8DF" w14:textId="3BA2AC8B" w:rsidR="004F4CD7" w:rsidRDefault="00000000">
          <w:pPr>
            <w:pStyle w:val="TOC2"/>
            <w:tabs>
              <w:tab w:val="right" w:leader="dot" w:pos="9350"/>
            </w:tabs>
            <w:rPr>
              <w:noProof/>
              <w:sz w:val="22"/>
            </w:rPr>
          </w:pPr>
          <w:hyperlink w:anchor="_Toc165038239" w:history="1">
            <w:r w:rsidR="004F4CD7" w:rsidRPr="00244A7F">
              <w:rPr>
                <w:rStyle w:val="Hyperlink"/>
                <w:noProof/>
                <w:lang w:val="en"/>
              </w:rPr>
              <w:t>105.02 S24 Consult with the ASCCC on Student Success Metrics and Curricular Paths</w:t>
            </w:r>
            <w:r w:rsidR="004F4CD7">
              <w:rPr>
                <w:noProof/>
                <w:webHidden/>
              </w:rPr>
              <w:tab/>
            </w:r>
            <w:r w:rsidR="004F4CD7">
              <w:rPr>
                <w:noProof/>
                <w:webHidden/>
              </w:rPr>
              <w:fldChar w:fldCharType="begin"/>
            </w:r>
            <w:r w:rsidR="004F4CD7">
              <w:rPr>
                <w:noProof/>
                <w:webHidden/>
              </w:rPr>
              <w:instrText xml:space="preserve"> PAGEREF _Toc165038239 \h </w:instrText>
            </w:r>
            <w:r w:rsidR="004F4CD7">
              <w:rPr>
                <w:noProof/>
                <w:webHidden/>
              </w:rPr>
            </w:r>
            <w:r w:rsidR="004F4CD7">
              <w:rPr>
                <w:noProof/>
                <w:webHidden/>
              </w:rPr>
              <w:fldChar w:fldCharType="separate"/>
            </w:r>
            <w:r w:rsidR="004F4CD7">
              <w:rPr>
                <w:noProof/>
                <w:webHidden/>
              </w:rPr>
              <w:t>17</w:t>
            </w:r>
            <w:r w:rsidR="004F4CD7">
              <w:rPr>
                <w:noProof/>
                <w:webHidden/>
              </w:rPr>
              <w:fldChar w:fldCharType="end"/>
            </w:r>
          </w:hyperlink>
        </w:p>
        <w:p w14:paraId="6E4E22C4" w14:textId="3234BB05" w:rsidR="004F4CD7" w:rsidRDefault="00000000">
          <w:pPr>
            <w:pStyle w:val="TOC2"/>
            <w:tabs>
              <w:tab w:val="right" w:leader="dot" w:pos="9350"/>
            </w:tabs>
            <w:rPr>
              <w:noProof/>
              <w:sz w:val="22"/>
            </w:rPr>
          </w:pPr>
          <w:hyperlink w:anchor="_Toc165038240" w:history="1">
            <w:r w:rsidR="004F4CD7" w:rsidRPr="00244A7F">
              <w:rPr>
                <w:rStyle w:val="Hyperlink"/>
                <w:noProof/>
              </w:rPr>
              <w:t>105.03 S24 Supporting Credit for Prior Learning (CPL) Through the California Mapping Articulated Pathways (MAP) Initiative</w:t>
            </w:r>
            <w:r w:rsidR="004F4CD7">
              <w:rPr>
                <w:noProof/>
                <w:webHidden/>
              </w:rPr>
              <w:tab/>
            </w:r>
            <w:r w:rsidR="004F4CD7">
              <w:rPr>
                <w:noProof/>
                <w:webHidden/>
              </w:rPr>
              <w:fldChar w:fldCharType="begin"/>
            </w:r>
            <w:r w:rsidR="004F4CD7">
              <w:rPr>
                <w:noProof/>
                <w:webHidden/>
              </w:rPr>
              <w:instrText xml:space="preserve"> PAGEREF _Toc165038240 \h </w:instrText>
            </w:r>
            <w:r w:rsidR="004F4CD7">
              <w:rPr>
                <w:noProof/>
                <w:webHidden/>
              </w:rPr>
            </w:r>
            <w:r w:rsidR="004F4CD7">
              <w:rPr>
                <w:noProof/>
                <w:webHidden/>
              </w:rPr>
              <w:fldChar w:fldCharType="separate"/>
            </w:r>
            <w:r w:rsidR="004F4CD7">
              <w:rPr>
                <w:noProof/>
                <w:webHidden/>
              </w:rPr>
              <w:t>18</w:t>
            </w:r>
            <w:r w:rsidR="004F4CD7">
              <w:rPr>
                <w:noProof/>
                <w:webHidden/>
              </w:rPr>
              <w:fldChar w:fldCharType="end"/>
            </w:r>
          </w:hyperlink>
        </w:p>
        <w:p w14:paraId="4698BEA6" w14:textId="0FFAFB9A" w:rsidR="004F4CD7" w:rsidRDefault="00000000">
          <w:pPr>
            <w:pStyle w:val="TOC1"/>
            <w:tabs>
              <w:tab w:val="right" w:leader="dot" w:pos="9350"/>
            </w:tabs>
            <w:rPr>
              <w:noProof/>
              <w:sz w:val="22"/>
            </w:rPr>
          </w:pPr>
          <w:hyperlink w:anchor="_Toc165038241" w:history="1">
            <w:r w:rsidR="004F4CD7" w:rsidRPr="00244A7F">
              <w:rPr>
                <w:rStyle w:val="Hyperlink"/>
                <w:noProof/>
              </w:rPr>
              <w:t>107 ACCREDITATION</w:t>
            </w:r>
            <w:r w:rsidR="004F4CD7">
              <w:rPr>
                <w:noProof/>
                <w:webHidden/>
              </w:rPr>
              <w:tab/>
            </w:r>
            <w:r w:rsidR="004F4CD7">
              <w:rPr>
                <w:noProof/>
                <w:webHidden/>
              </w:rPr>
              <w:fldChar w:fldCharType="begin"/>
            </w:r>
            <w:r w:rsidR="004F4CD7">
              <w:rPr>
                <w:noProof/>
                <w:webHidden/>
              </w:rPr>
              <w:instrText xml:space="preserve"> PAGEREF _Toc165038241 \h </w:instrText>
            </w:r>
            <w:r w:rsidR="004F4CD7">
              <w:rPr>
                <w:noProof/>
                <w:webHidden/>
              </w:rPr>
            </w:r>
            <w:r w:rsidR="004F4CD7">
              <w:rPr>
                <w:noProof/>
                <w:webHidden/>
              </w:rPr>
              <w:fldChar w:fldCharType="separate"/>
            </w:r>
            <w:r w:rsidR="004F4CD7">
              <w:rPr>
                <w:noProof/>
                <w:webHidden/>
              </w:rPr>
              <w:t>19</w:t>
            </w:r>
            <w:r w:rsidR="004F4CD7">
              <w:rPr>
                <w:noProof/>
                <w:webHidden/>
              </w:rPr>
              <w:fldChar w:fldCharType="end"/>
            </w:r>
          </w:hyperlink>
        </w:p>
        <w:p w14:paraId="6CD6D379" w14:textId="316384C6" w:rsidR="004F4CD7" w:rsidRDefault="00000000">
          <w:pPr>
            <w:pStyle w:val="TOC2"/>
            <w:tabs>
              <w:tab w:val="right" w:leader="dot" w:pos="9350"/>
            </w:tabs>
            <w:rPr>
              <w:noProof/>
              <w:sz w:val="22"/>
            </w:rPr>
          </w:pPr>
          <w:hyperlink w:anchor="_Toc165038242" w:history="1">
            <w:r w:rsidR="004F4CD7" w:rsidRPr="00244A7F">
              <w:rPr>
                <w:rStyle w:val="Hyperlink"/>
                <w:noProof/>
              </w:rPr>
              <w:t>107.01 S24 Supporting Regular and Substantive Interaction as an Academic and Professional Matter to Enhance Student Success and Meet Standards</w:t>
            </w:r>
            <w:r w:rsidR="004F4CD7">
              <w:rPr>
                <w:noProof/>
                <w:webHidden/>
              </w:rPr>
              <w:tab/>
            </w:r>
            <w:r w:rsidR="004F4CD7">
              <w:rPr>
                <w:noProof/>
                <w:webHidden/>
              </w:rPr>
              <w:fldChar w:fldCharType="begin"/>
            </w:r>
            <w:r w:rsidR="004F4CD7">
              <w:rPr>
                <w:noProof/>
                <w:webHidden/>
              </w:rPr>
              <w:instrText xml:space="preserve"> PAGEREF _Toc165038242 \h </w:instrText>
            </w:r>
            <w:r w:rsidR="004F4CD7">
              <w:rPr>
                <w:noProof/>
                <w:webHidden/>
              </w:rPr>
            </w:r>
            <w:r w:rsidR="004F4CD7">
              <w:rPr>
                <w:noProof/>
                <w:webHidden/>
              </w:rPr>
              <w:fldChar w:fldCharType="separate"/>
            </w:r>
            <w:r w:rsidR="004F4CD7">
              <w:rPr>
                <w:noProof/>
                <w:webHidden/>
              </w:rPr>
              <w:t>19</w:t>
            </w:r>
            <w:r w:rsidR="004F4CD7">
              <w:rPr>
                <w:noProof/>
                <w:webHidden/>
              </w:rPr>
              <w:fldChar w:fldCharType="end"/>
            </w:r>
          </w:hyperlink>
        </w:p>
        <w:p w14:paraId="087BBBC0" w14:textId="300DB1FA" w:rsidR="004F4CD7" w:rsidRDefault="00000000">
          <w:pPr>
            <w:pStyle w:val="TOC1"/>
            <w:tabs>
              <w:tab w:val="right" w:leader="dot" w:pos="9350"/>
            </w:tabs>
            <w:rPr>
              <w:noProof/>
              <w:sz w:val="22"/>
            </w:rPr>
          </w:pPr>
          <w:hyperlink w:anchor="_Toc165038243" w:history="1">
            <w:r w:rsidR="004F4CD7" w:rsidRPr="00244A7F">
              <w:rPr>
                <w:rStyle w:val="Hyperlink"/>
                <w:noProof/>
              </w:rPr>
              <w:t>111 ACADEMIC SENATE FOR CALIFORNIA COMMUNITY COLLEGES</w:t>
            </w:r>
            <w:r w:rsidR="004F4CD7">
              <w:rPr>
                <w:noProof/>
                <w:webHidden/>
              </w:rPr>
              <w:tab/>
            </w:r>
            <w:r w:rsidR="004F4CD7">
              <w:rPr>
                <w:noProof/>
                <w:webHidden/>
              </w:rPr>
              <w:fldChar w:fldCharType="begin"/>
            </w:r>
            <w:r w:rsidR="004F4CD7">
              <w:rPr>
                <w:noProof/>
                <w:webHidden/>
              </w:rPr>
              <w:instrText xml:space="preserve"> PAGEREF _Toc165038243 \h </w:instrText>
            </w:r>
            <w:r w:rsidR="004F4CD7">
              <w:rPr>
                <w:noProof/>
                <w:webHidden/>
              </w:rPr>
            </w:r>
            <w:r w:rsidR="004F4CD7">
              <w:rPr>
                <w:noProof/>
                <w:webHidden/>
              </w:rPr>
              <w:fldChar w:fldCharType="separate"/>
            </w:r>
            <w:r w:rsidR="004F4CD7">
              <w:rPr>
                <w:noProof/>
                <w:webHidden/>
              </w:rPr>
              <w:t>21</w:t>
            </w:r>
            <w:r w:rsidR="004F4CD7">
              <w:rPr>
                <w:noProof/>
                <w:webHidden/>
              </w:rPr>
              <w:fldChar w:fldCharType="end"/>
            </w:r>
          </w:hyperlink>
        </w:p>
        <w:p w14:paraId="0DDE72B8" w14:textId="5D33B09C" w:rsidR="004F4CD7" w:rsidRDefault="00000000">
          <w:pPr>
            <w:pStyle w:val="TOC2"/>
            <w:tabs>
              <w:tab w:val="right" w:leader="dot" w:pos="9350"/>
            </w:tabs>
            <w:rPr>
              <w:noProof/>
              <w:sz w:val="22"/>
            </w:rPr>
          </w:pPr>
          <w:hyperlink w:anchor="_Toc165038244" w:history="1">
            <w:r w:rsidR="004F4CD7" w:rsidRPr="00244A7F">
              <w:rPr>
                <w:rStyle w:val="Hyperlink"/>
                <w:noProof/>
                <w:lang w:val="en"/>
              </w:rPr>
              <w:t xml:space="preserve">111.01 S24 Adopt the Paper </w:t>
            </w:r>
            <w:r w:rsidR="004F4CD7" w:rsidRPr="00244A7F">
              <w:rPr>
                <w:rStyle w:val="Hyperlink"/>
                <w:i/>
                <w:iCs/>
                <w:noProof/>
                <w:lang w:val="en"/>
              </w:rPr>
              <w:t>Part-time Faculty: Equity, Rights, and Roles in Governance</w:t>
            </w:r>
            <w:r w:rsidR="004F4CD7">
              <w:rPr>
                <w:noProof/>
                <w:webHidden/>
              </w:rPr>
              <w:tab/>
            </w:r>
            <w:r w:rsidR="004F4CD7">
              <w:rPr>
                <w:noProof/>
                <w:webHidden/>
              </w:rPr>
              <w:fldChar w:fldCharType="begin"/>
            </w:r>
            <w:r w:rsidR="004F4CD7">
              <w:rPr>
                <w:noProof/>
                <w:webHidden/>
              </w:rPr>
              <w:instrText xml:space="preserve"> PAGEREF _Toc165038244 \h </w:instrText>
            </w:r>
            <w:r w:rsidR="004F4CD7">
              <w:rPr>
                <w:noProof/>
                <w:webHidden/>
              </w:rPr>
            </w:r>
            <w:r w:rsidR="004F4CD7">
              <w:rPr>
                <w:noProof/>
                <w:webHidden/>
              </w:rPr>
              <w:fldChar w:fldCharType="separate"/>
            </w:r>
            <w:r w:rsidR="004F4CD7">
              <w:rPr>
                <w:noProof/>
                <w:webHidden/>
              </w:rPr>
              <w:t>21</w:t>
            </w:r>
            <w:r w:rsidR="004F4CD7">
              <w:rPr>
                <w:noProof/>
                <w:webHidden/>
              </w:rPr>
              <w:fldChar w:fldCharType="end"/>
            </w:r>
          </w:hyperlink>
        </w:p>
        <w:p w14:paraId="29E3B8A3" w14:textId="7B9D5901" w:rsidR="004F4CD7" w:rsidRDefault="00000000">
          <w:pPr>
            <w:pStyle w:val="TOC2"/>
            <w:tabs>
              <w:tab w:val="right" w:leader="dot" w:pos="9350"/>
            </w:tabs>
            <w:rPr>
              <w:noProof/>
              <w:sz w:val="22"/>
            </w:rPr>
          </w:pPr>
          <w:hyperlink w:anchor="_Toc165038245" w:history="1">
            <w:r w:rsidR="004F4CD7" w:rsidRPr="00244A7F">
              <w:rPr>
                <w:rStyle w:val="Hyperlink"/>
                <w:noProof/>
              </w:rPr>
              <w:t>111.02 S24 Affirm Commitment to the Protection of Academic Freedom in the Face of Censorship Around Current Conflict in Palestine and Israel</w:t>
            </w:r>
            <w:r w:rsidR="004F4CD7">
              <w:rPr>
                <w:noProof/>
                <w:webHidden/>
              </w:rPr>
              <w:tab/>
            </w:r>
            <w:r w:rsidR="004F4CD7">
              <w:rPr>
                <w:noProof/>
                <w:webHidden/>
              </w:rPr>
              <w:fldChar w:fldCharType="begin"/>
            </w:r>
            <w:r w:rsidR="004F4CD7">
              <w:rPr>
                <w:noProof/>
                <w:webHidden/>
              </w:rPr>
              <w:instrText xml:space="preserve"> PAGEREF _Toc165038245 \h </w:instrText>
            </w:r>
            <w:r w:rsidR="004F4CD7">
              <w:rPr>
                <w:noProof/>
                <w:webHidden/>
              </w:rPr>
            </w:r>
            <w:r w:rsidR="004F4CD7">
              <w:rPr>
                <w:noProof/>
                <w:webHidden/>
              </w:rPr>
              <w:fldChar w:fldCharType="separate"/>
            </w:r>
            <w:r w:rsidR="004F4CD7">
              <w:rPr>
                <w:noProof/>
                <w:webHidden/>
              </w:rPr>
              <w:t>22</w:t>
            </w:r>
            <w:r w:rsidR="004F4CD7">
              <w:rPr>
                <w:noProof/>
                <w:webHidden/>
              </w:rPr>
              <w:fldChar w:fldCharType="end"/>
            </w:r>
          </w:hyperlink>
        </w:p>
        <w:p w14:paraId="202F1D1C" w14:textId="3F37274D" w:rsidR="004F4CD7" w:rsidRDefault="00000000">
          <w:pPr>
            <w:pStyle w:val="TOC1"/>
            <w:tabs>
              <w:tab w:val="right" w:leader="dot" w:pos="9350"/>
            </w:tabs>
            <w:rPr>
              <w:noProof/>
              <w:sz w:val="22"/>
            </w:rPr>
          </w:pPr>
          <w:hyperlink w:anchor="_Toc165038246" w:history="1">
            <w:r w:rsidR="004F4CD7" w:rsidRPr="00244A7F">
              <w:rPr>
                <w:rStyle w:val="Hyperlink"/>
                <w:noProof/>
              </w:rPr>
              <w:t>112 HIRING, MINIMUM QUALIFICATIONS, EQUIVALENCY, AND EVALUATIONS</w:t>
            </w:r>
            <w:r w:rsidR="004F4CD7">
              <w:rPr>
                <w:noProof/>
                <w:webHidden/>
              </w:rPr>
              <w:tab/>
            </w:r>
            <w:r w:rsidR="004F4CD7">
              <w:rPr>
                <w:noProof/>
                <w:webHidden/>
              </w:rPr>
              <w:fldChar w:fldCharType="begin"/>
            </w:r>
            <w:r w:rsidR="004F4CD7">
              <w:rPr>
                <w:noProof/>
                <w:webHidden/>
              </w:rPr>
              <w:instrText xml:space="preserve"> PAGEREF _Toc165038246 \h </w:instrText>
            </w:r>
            <w:r w:rsidR="004F4CD7">
              <w:rPr>
                <w:noProof/>
                <w:webHidden/>
              </w:rPr>
            </w:r>
            <w:r w:rsidR="004F4CD7">
              <w:rPr>
                <w:noProof/>
                <w:webHidden/>
              </w:rPr>
              <w:fldChar w:fldCharType="separate"/>
            </w:r>
            <w:r w:rsidR="004F4CD7">
              <w:rPr>
                <w:noProof/>
                <w:webHidden/>
              </w:rPr>
              <w:t>23</w:t>
            </w:r>
            <w:r w:rsidR="004F4CD7">
              <w:rPr>
                <w:noProof/>
                <w:webHidden/>
              </w:rPr>
              <w:fldChar w:fldCharType="end"/>
            </w:r>
          </w:hyperlink>
        </w:p>
        <w:p w14:paraId="4A7C711F" w14:textId="540077A4" w:rsidR="004F4CD7" w:rsidRDefault="00000000">
          <w:pPr>
            <w:pStyle w:val="TOC2"/>
            <w:tabs>
              <w:tab w:val="right" w:leader="dot" w:pos="9350"/>
            </w:tabs>
            <w:rPr>
              <w:noProof/>
              <w:sz w:val="22"/>
            </w:rPr>
          </w:pPr>
          <w:hyperlink w:anchor="_Toc165038247" w:history="1">
            <w:r w:rsidR="004F4CD7" w:rsidRPr="00244A7F">
              <w:rPr>
                <w:rStyle w:val="Hyperlink"/>
                <w:noProof/>
                <w:lang w:val="en"/>
              </w:rPr>
              <w:t>112.01 S24 Disciplines List — Artificial Intelligence</w:t>
            </w:r>
            <w:r w:rsidR="004F4CD7">
              <w:rPr>
                <w:noProof/>
                <w:webHidden/>
              </w:rPr>
              <w:tab/>
            </w:r>
            <w:r w:rsidR="004F4CD7">
              <w:rPr>
                <w:noProof/>
                <w:webHidden/>
              </w:rPr>
              <w:fldChar w:fldCharType="begin"/>
            </w:r>
            <w:r w:rsidR="004F4CD7">
              <w:rPr>
                <w:noProof/>
                <w:webHidden/>
              </w:rPr>
              <w:instrText xml:space="preserve"> PAGEREF _Toc165038247 \h </w:instrText>
            </w:r>
            <w:r w:rsidR="004F4CD7">
              <w:rPr>
                <w:noProof/>
                <w:webHidden/>
              </w:rPr>
            </w:r>
            <w:r w:rsidR="004F4CD7">
              <w:rPr>
                <w:noProof/>
                <w:webHidden/>
              </w:rPr>
              <w:fldChar w:fldCharType="separate"/>
            </w:r>
            <w:r w:rsidR="004F4CD7">
              <w:rPr>
                <w:noProof/>
                <w:webHidden/>
              </w:rPr>
              <w:t>23</w:t>
            </w:r>
            <w:r w:rsidR="004F4CD7">
              <w:rPr>
                <w:noProof/>
                <w:webHidden/>
              </w:rPr>
              <w:fldChar w:fldCharType="end"/>
            </w:r>
          </w:hyperlink>
        </w:p>
        <w:p w14:paraId="230C83B6" w14:textId="0FF4FD6B" w:rsidR="004F4CD7" w:rsidRDefault="00000000">
          <w:pPr>
            <w:pStyle w:val="TOC2"/>
            <w:tabs>
              <w:tab w:val="right" w:leader="dot" w:pos="9350"/>
            </w:tabs>
            <w:rPr>
              <w:noProof/>
              <w:sz w:val="22"/>
            </w:rPr>
          </w:pPr>
          <w:hyperlink w:anchor="_Toc165038248" w:history="1">
            <w:r w:rsidR="004F4CD7" w:rsidRPr="00244A7F">
              <w:rPr>
                <w:rStyle w:val="Hyperlink"/>
                <w:noProof/>
                <w:lang w:val="en"/>
              </w:rPr>
              <w:t>112.02 S24 Disciplines List — Nursing</w:t>
            </w:r>
            <w:r w:rsidR="004F4CD7">
              <w:rPr>
                <w:noProof/>
                <w:webHidden/>
              </w:rPr>
              <w:tab/>
            </w:r>
            <w:r w:rsidR="004F4CD7">
              <w:rPr>
                <w:noProof/>
                <w:webHidden/>
              </w:rPr>
              <w:fldChar w:fldCharType="begin"/>
            </w:r>
            <w:r w:rsidR="004F4CD7">
              <w:rPr>
                <w:noProof/>
                <w:webHidden/>
              </w:rPr>
              <w:instrText xml:space="preserve"> PAGEREF _Toc165038248 \h </w:instrText>
            </w:r>
            <w:r w:rsidR="004F4CD7">
              <w:rPr>
                <w:noProof/>
                <w:webHidden/>
              </w:rPr>
            </w:r>
            <w:r w:rsidR="004F4CD7">
              <w:rPr>
                <w:noProof/>
                <w:webHidden/>
              </w:rPr>
              <w:fldChar w:fldCharType="separate"/>
            </w:r>
            <w:r w:rsidR="004F4CD7">
              <w:rPr>
                <w:noProof/>
                <w:webHidden/>
              </w:rPr>
              <w:t>24</w:t>
            </w:r>
            <w:r w:rsidR="004F4CD7">
              <w:rPr>
                <w:noProof/>
                <w:webHidden/>
              </w:rPr>
              <w:fldChar w:fldCharType="end"/>
            </w:r>
          </w:hyperlink>
        </w:p>
        <w:p w14:paraId="3225A19A" w14:textId="773ACB5F" w:rsidR="004F4CD7" w:rsidRDefault="00000000">
          <w:pPr>
            <w:pStyle w:val="TOC2"/>
            <w:tabs>
              <w:tab w:val="right" w:leader="dot" w:pos="9350"/>
            </w:tabs>
            <w:rPr>
              <w:noProof/>
              <w:sz w:val="22"/>
            </w:rPr>
          </w:pPr>
          <w:hyperlink w:anchor="_Toc165038249" w:history="1">
            <w:r w:rsidR="004F4CD7" w:rsidRPr="00244A7F">
              <w:rPr>
                <w:rStyle w:val="Hyperlink"/>
                <w:noProof/>
                <w:lang w:val="en"/>
              </w:rPr>
              <w:t>112.03 S24 Disciplines List — Art</w:t>
            </w:r>
            <w:r w:rsidR="004F4CD7">
              <w:rPr>
                <w:noProof/>
                <w:webHidden/>
              </w:rPr>
              <w:tab/>
            </w:r>
            <w:r w:rsidR="004F4CD7">
              <w:rPr>
                <w:noProof/>
                <w:webHidden/>
              </w:rPr>
              <w:fldChar w:fldCharType="begin"/>
            </w:r>
            <w:r w:rsidR="004F4CD7">
              <w:rPr>
                <w:noProof/>
                <w:webHidden/>
              </w:rPr>
              <w:instrText xml:space="preserve"> PAGEREF _Toc165038249 \h </w:instrText>
            </w:r>
            <w:r w:rsidR="004F4CD7">
              <w:rPr>
                <w:noProof/>
                <w:webHidden/>
              </w:rPr>
            </w:r>
            <w:r w:rsidR="004F4CD7">
              <w:rPr>
                <w:noProof/>
                <w:webHidden/>
              </w:rPr>
              <w:fldChar w:fldCharType="separate"/>
            </w:r>
            <w:r w:rsidR="004F4CD7">
              <w:rPr>
                <w:noProof/>
                <w:webHidden/>
              </w:rPr>
              <w:t>24</w:t>
            </w:r>
            <w:r w:rsidR="004F4CD7">
              <w:rPr>
                <w:noProof/>
                <w:webHidden/>
              </w:rPr>
              <w:fldChar w:fldCharType="end"/>
            </w:r>
          </w:hyperlink>
        </w:p>
        <w:p w14:paraId="68B56B88" w14:textId="66EA466B" w:rsidR="004F4CD7" w:rsidRDefault="00000000">
          <w:pPr>
            <w:pStyle w:val="TOC1"/>
            <w:tabs>
              <w:tab w:val="right" w:leader="dot" w:pos="9350"/>
            </w:tabs>
            <w:rPr>
              <w:noProof/>
              <w:sz w:val="22"/>
            </w:rPr>
          </w:pPr>
          <w:hyperlink w:anchor="_Toc165038250" w:history="1">
            <w:r w:rsidR="004F4CD7" w:rsidRPr="00244A7F">
              <w:rPr>
                <w:rStyle w:val="Hyperlink"/>
                <w:noProof/>
              </w:rPr>
              <w:t>113 LEGISLATION AND ADVOCACY</w:t>
            </w:r>
            <w:r w:rsidR="004F4CD7">
              <w:rPr>
                <w:noProof/>
                <w:webHidden/>
              </w:rPr>
              <w:tab/>
            </w:r>
            <w:r w:rsidR="004F4CD7">
              <w:rPr>
                <w:noProof/>
                <w:webHidden/>
              </w:rPr>
              <w:fldChar w:fldCharType="begin"/>
            </w:r>
            <w:r w:rsidR="004F4CD7">
              <w:rPr>
                <w:noProof/>
                <w:webHidden/>
              </w:rPr>
              <w:instrText xml:space="preserve"> PAGEREF _Toc165038250 \h </w:instrText>
            </w:r>
            <w:r w:rsidR="004F4CD7">
              <w:rPr>
                <w:noProof/>
                <w:webHidden/>
              </w:rPr>
            </w:r>
            <w:r w:rsidR="004F4CD7">
              <w:rPr>
                <w:noProof/>
                <w:webHidden/>
              </w:rPr>
              <w:fldChar w:fldCharType="separate"/>
            </w:r>
            <w:r w:rsidR="004F4CD7">
              <w:rPr>
                <w:noProof/>
                <w:webHidden/>
              </w:rPr>
              <w:t>25</w:t>
            </w:r>
            <w:r w:rsidR="004F4CD7">
              <w:rPr>
                <w:noProof/>
                <w:webHidden/>
              </w:rPr>
              <w:fldChar w:fldCharType="end"/>
            </w:r>
          </w:hyperlink>
        </w:p>
        <w:p w14:paraId="12EB3167" w14:textId="0F242487" w:rsidR="004F4CD7" w:rsidRDefault="00000000">
          <w:pPr>
            <w:pStyle w:val="TOC2"/>
            <w:tabs>
              <w:tab w:val="right" w:leader="dot" w:pos="9350"/>
            </w:tabs>
            <w:rPr>
              <w:noProof/>
              <w:sz w:val="22"/>
            </w:rPr>
          </w:pPr>
          <w:hyperlink w:anchor="_Toc165038251" w:history="1">
            <w:r w:rsidR="004F4CD7" w:rsidRPr="00244A7F">
              <w:rPr>
                <w:rStyle w:val="Hyperlink"/>
                <w:noProof/>
                <w:lang w:val="en"/>
              </w:rPr>
              <w:t>113.01 S24 Support SB 895 (Roth, as of March 9, 2024) to Establish the Baccalaureate Degree in Nursing Pilot Program</w:t>
            </w:r>
            <w:r w:rsidR="004F4CD7">
              <w:rPr>
                <w:noProof/>
                <w:webHidden/>
              </w:rPr>
              <w:tab/>
            </w:r>
            <w:r w:rsidR="004F4CD7">
              <w:rPr>
                <w:noProof/>
                <w:webHidden/>
              </w:rPr>
              <w:fldChar w:fldCharType="begin"/>
            </w:r>
            <w:r w:rsidR="004F4CD7">
              <w:rPr>
                <w:noProof/>
                <w:webHidden/>
              </w:rPr>
              <w:instrText xml:space="preserve"> PAGEREF _Toc165038251 \h </w:instrText>
            </w:r>
            <w:r w:rsidR="004F4CD7">
              <w:rPr>
                <w:noProof/>
                <w:webHidden/>
              </w:rPr>
            </w:r>
            <w:r w:rsidR="004F4CD7">
              <w:rPr>
                <w:noProof/>
                <w:webHidden/>
              </w:rPr>
              <w:fldChar w:fldCharType="separate"/>
            </w:r>
            <w:r w:rsidR="004F4CD7">
              <w:rPr>
                <w:noProof/>
                <w:webHidden/>
              </w:rPr>
              <w:t>25</w:t>
            </w:r>
            <w:r w:rsidR="004F4CD7">
              <w:rPr>
                <w:noProof/>
                <w:webHidden/>
              </w:rPr>
              <w:fldChar w:fldCharType="end"/>
            </w:r>
          </w:hyperlink>
        </w:p>
        <w:p w14:paraId="63D2EC98" w14:textId="5238E115" w:rsidR="004F4CD7" w:rsidRDefault="00000000">
          <w:pPr>
            <w:pStyle w:val="TOC2"/>
            <w:tabs>
              <w:tab w:val="right" w:leader="dot" w:pos="9350"/>
            </w:tabs>
            <w:rPr>
              <w:noProof/>
              <w:sz w:val="22"/>
            </w:rPr>
          </w:pPr>
          <w:hyperlink w:anchor="_Toc165038252" w:history="1">
            <w:r w:rsidR="004F4CD7" w:rsidRPr="00244A7F">
              <w:rPr>
                <w:rStyle w:val="Hyperlink"/>
                <w:noProof/>
                <w:lang w:val="en"/>
              </w:rPr>
              <w:t>113.02 S24 Support ACR 147 (Alvarez as of February 16, 2024): California's First-Generation College Celebration Day</w:t>
            </w:r>
            <w:r w:rsidR="004F4CD7">
              <w:rPr>
                <w:noProof/>
                <w:webHidden/>
              </w:rPr>
              <w:tab/>
            </w:r>
            <w:r w:rsidR="004F4CD7">
              <w:rPr>
                <w:noProof/>
                <w:webHidden/>
              </w:rPr>
              <w:fldChar w:fldCharType="begin"/>
            </w:r>
            <w:r w:rsidR="004F4CD7">
              <w:rPr>
                <w:noProof/>
                <w:webHidden/>
              </w:rPr>
              <w:instrText xml:space="preserve"> PAGEREF _Toc165038252 \h </w:instrText>
            </w:r>
            <w:r w:rsidR="004F4CD7">
              <w:rPr>
                <w:noProof/>
                <w:webHidden/>
              </w:rPr>
            </w:r>
            <w:r w:rsidR="004F4CD7">
              <w:rPr>
                <w:noProof/>
                <w:webHidden/>
              </w:rPr>
              <w:fldChar w:fldCharType="separate"/>
            </w:r>
            <w:r w:rsidR="004F4CD7">
              <w:rPr>
                <w:noProof/>
                <w:webHidden/>
              </w:rPr>
              <w:t>27</w:t>
            </w:r>
            <w:r w:rsidR="004F4CD7">
              <w:rPr>
                <w:noProof/>
                <w:webHidden/>
              </w:rPr>
              <w:fldChar w:fldCharType="end"/>
            </w:r>
          </w:hyperlink>
        </w:p>
        <w:p w14:paraId="2DCB7B8E" w14:textId="26707D76" w:rsidR="004F4CD7" w:rsidRDefault="00000000">
          <w:pPr>
            <w:pStyle w:val="TOC2"/>
            <w:tabs>
              <w:tab w:val="right" w:leader="dot" w:pos="9350"/>
            </w:tabs>
            <w:rPr>
              <w:noProof/>
              <w:sz w:val="22"/>
            </w:rPr>
          </w:pPr>
          <w:hyperlink w:anchor="_Toc165038253" w:history="1">
            <w:r w:rsidR="004F4CD7" w:rsidRPr="00244A7F">
              <w:rPr>
                <w:rStyle w:val="Hyperlink"/>
                <w:noProof/>
                <w:lang w:val="en"/>
              </w:rPr>
              <w:t>113.03 S24 Support AB 2586 (Alvarez, as of February 14, 2024): Student Employment</w:t>
            </w:r>
            <w:r w:rsidR="004F4CD7">
              <w:rPr>
                <w:noProof/>
                <w:webHidden/>
              </w:rPr>
              <w:tab/>
            </w:r>
            <w:r w:rsidR="004F4CD7">
              <w:rPr>
                <w:noProof/>
                <w:webHidden/>
              </w:rPr>
              <w:fldChar w:fldCharType="begin"/>
            </w:r>
            <w:r w:rsidR="004F4CD7">
              <w:rPr>
                <w:noProof/>
                <w:webHidden/>
              </w:rPr>
              <w:instrText xml:space="preserve"> PAGEREF _Toc165038253 \h </w:instrText>
            </w:r>
            <w:r w:rsidR="004F4CD7">
              <w:rPr>
                <w:noProof/>
                <w:webHidden/>
              </w:rPr>
            </w:r>
            <w:r w:rsidR="004F4CD7">
              <w:rPr>
                <w:noProof/>
                <w:webHidden/>
              </w:rPr>
              <w:fldChar w:fldCharType="separate"/>
            </w:r>
            <w:r w:rsidR="004F4CD7">
              <w:rPr>
                <w:noProof/>
                <w:webHidden/>
              </w:rPr>
              <w:t>28</w:t>
            </w:r>
            <w:r w:rsidR="004F4CD7">
              <w:rPr>
                <w:noProof/>
                <w:webHidden/>
              </w:rPr>
              <w:fldChar w:fldCharType="end"/>
            </w:r>
          </w:hyperlink>
        </w:p>
        <w:p w14:paraId="724FC57C" w14:textId="497CEF3E" w:rsidR="004F4CD7" w:rsidRDefault="00000000">
          <w:pPr>
            <w:pStyle w:val="TOC2"/>
            <w:tabs>
              <w:tab w:val="right" w:leader="dot" w:pos="9350"/>
            </w:tabs>
            <w:rPr>
              <w:noProof/>
              <w:sz w:val="22"/>
            </w:rPr>
          </w:pPr>
          <w:hyperlink w:anchor="_Toc165038254" w:history="1">
            <w:r w:rsidR="004F4CD7" w:rsidRPr="00244A7F">
              <w:rPr>
                <w:rStyle w:val="Hyperlink"/>
                <w:noProof/>
                <w:lang w:val="en"/>
              </w:rPr>
              <w:t>113.04 S24 Support AB 2093 (Santiago, as of March 6, 2024) to Extend College Promise to California Community College Baccalaureate Degree Students</w:t>
            </w:r>
            <w:r w:rsidR="004F4CD7">
              <w:rPr>
                <w:noProof/>
                <w:webHidden/>
              </w:rPr>
              <w:tab/>
            </w:r>
            <w:r w:rsidR="004F4CD7">
              <w:rPr>
                <w:noProof/>
                <w:webHidden/>
              </w:rPr>
              <w:fldChar w:fldCharType="begin"/>
            </w:r>
            <w:r w:rsidR="004F4CD7">
              <w:rPr>
                <w:noProof/>
                <w:webHidden/>
              </w:rPr>
              <w:instrText xml:space="preserve"> PAGEREF _Toc165038254 \h </w:instrText>
            </w:r>
            <w:r w:rsidR="004F4CD7">
              <w:rPr>
                <w:noProof/>
                <w:webHidden/>
              </w:rPr>
            </w:r>
            <w:r w:rsidR="004F4CD7">
              <w:rPr>
                <w:noProof/>
                <w:webHidden/>
              </w:rPr>
              <w:fldChar w:fldCharType="separate"/>
            </w:r>
            <w:r w:rsidR="004F4CD7">
              <w:rPr>
                <w:noProof/>
                <w:webHidden/>
              </w:rPr>
              <w:t>29</w:t>
            </w:r>
            <w:r w:rsidR="004F4CD7">
              <w:rPr>
                <w:noProof/>
                <w:webHidden/>
              </w:rPr>
              <w:fldChar w:fldCharType="end"/>
            </w:r>
          </w:hyperlink>
        </w:p>
        <w:p w14:paraId="79580A26" w14:textId="4B4D5FF4" w:rsidR="004F4CD7" w:rsidRDefault="00000000">
          <w:pPr>
            <w:pStyle w:val="TOC2"/>
            <w:tabs>
              <w:tab w:val="right" w:leader="dot" w:pos="9350"/>
            </w:tabs>
            <w:rPr>
              <w:noProof/>
              <w:sz w:val="22"/>
            </w:rPr>
          </w:pPr>
          <w:hyperlink w:anchor="_Toc165038255" w:history="1">
            <w:r w:rsidR="004F4CD7" w:rsidRPr="00244A7F">
              <w:rPr>
                <w:rStyle w:val="Hyperlink"/>
                <w:noProof/>
                <w:lang w:val="en"/>
              </w:rPr>
              <w:t>113.05 S24 Support AB 2407 (Hart, as of February 12, 2024) on Sexual Harassment Complaints</w:t>
            </w:r>
            <w:r w:rsidR="004F4CD7">
              <w:rPr>
                <w:noProof/>
                <w:webHidden/>
              </w:rPr>
              <w:tab/>
            </w:r>
            <w:r w:rsidR="004F4CD7">
              <w:rPr>
                <w:noProof/>
                <w:webHidden/>
              </w:rPr>
              <w:fldChar w:fldCharType="begin"/>
            </w:r>
            <w:r w:rsidR="004F4CD7">
              <w:rPr>
                <w:noProof/>
                <w:webHidden/>
              </w:rPr>
              <w:instrText xml:space="preserve"> PAGEREF _Toc165038255 \h </w:instrText>
            </w:r>
            <w:r w:rsidR="004F4CD7">
              <w:rPr>
                <w:noProof/>
                <w:webHidden/>
              </w:rPr>
            </w:r>
            <w:r w:rsidR="004F4CD7">
              <w:rPr>
                <w:noProof/>
                <w:webHidden/>
              </w:rPr>
              <w:fldChar w:fldCharType="separate"/>
            </w:r>
            <w:r w:rsidR="004F4CD7">
              <w:rPr>
                <w:noProof/>
                <w:webHidden/>
              </w:rPr>
              <w:t>30</w:t>
            </w:r>
            <w:r w:rsidR="004F4CD7">
              <w:rPr>
                <w:noProof/>
                <w:webHidden/>
              </w:rPr>
              <w:fldChar w:fldCharType="end"/>
            </w:r>
          </w:hyperlink>
        </w:p>
        <w:p w14:paraId="418A476B" w14:textId="4BAFA09A" w:rsidR="004F4CD7" w:rsidRDefault="00000000">
          <w:pPr>
            <w:pStyle w:val="TOC2"/>
            <w:tabs>
              <w:tab w:val="right" w:leader="dot" w:pos="9350"/>
            </w:tabs>
            <w:rPr>
              <w:noProof/>
              <w:sz w:val="22"/>
            </w:rPr>
          </w:pPr>
          <w:hyperlink w:anchor="_Toc165038256" w:history="1">
            <w:r w:rsidR="004F4CD7" w:rsidRPr="00244A7F">
              <w:rPr>
                <w:rStyle w:val="Hyperlink"/>
                <w:noProof/>
                <w:lang w:val="en"/>
              </w:rPr>
              <w:t>113.06 S24 In Support of Documented Dreamers</w:t>
            </w:r>
            <w:r w:rsidR="004F4CD7">
              <w:rPr>
                <w:noProof/>
                <w:webHidden/>
              </w:rPr>
              <w:tab/>
            </w:r>
            <w:r w:rsidR="004F4CD7">
              <w:rPr>
                <w:noProof/>
                <w:webHidden/>
              </w:rPr>
              <w:fldChar w:fldCharType="begin"/>
            </w:r>
            <w:r w:rsidR="004F4CD7">
              <w:rPr>
                <w:noProof/>
                <w:webHidden/>
              </w:rPr>
              <w:instrText xml:space="preserve"> PAGEREF _Toc165038256 \h </w:instrText>
            </w:r>
            <w:r w:rsidR="004F4CD7">
              <w:rPr>
                <w:noProof/>
                <w:webHidden/>
              </w:rPr>
            </w:r>
            <w:r w:rsidR="004F4CD7">
              <w:rPr>
                <w:noProof/>
                <w:webHidden/>
              </w:rPr>
              <w:fldChar w:fldCharType="separate"/>
            </w:r>
            <w:r w:rsidR="004F4CD7">
              <w:rPr>
                <w:noProof/>
                <w:webHidden/>
              </w:rPr>
              <w:t>32</w:t>
            </w:r>
            <w:r w:rsidR="004F4CD7">
              <w:rPr>
                <w:noProof/>
                <w:webHidden/>
              </w:rPr>
              <w:fldChar w:fldCharType="end"/>
            </w:r>
          </w:hyperlink>
        </w:p>
        <w:p w14:paraId="70E2B833" w14:textId="172DE550" w:rsidR="004F4CD7" w:rsidRDefault="00000000">
          <w:pPr>
            <w:pStyle w:val="TOC2"/>
            <w:tabs>
              <w:tab w:val="right" w:leader="dot" w:pos="9350"/>
            </w:tabs>
            <w:rPr>
              <w:noProof/>
              <w:sz w:val="22"/>
            </w:rPr>
          </w:pPr>
          <w:hyperlink w:anchor="_Toc165038257" w:history="1">
            <w:r w:rsidR="004F4CD7" w:rsidRPr="00244A7F">
              <w:rPr>
                <w:rStyle w:val="Hyperlink"/>
                <w:noProof/>
                <w:lang w:val="en"/>
              </w:rPr>
              <w:t>113.07 S24 Expanding Access to Minority Serving Institution Designation</w:t>
            </w:r>
            <w:r w:rsidR="004F4CD7">
              <w:rPr>
                <w:noProof/>
                <w:webHidden/>
              </w:rPr>
              <w:tab/>
            </w:r>
            <w:r w:rsidR="004F4CD7">
              <w:rPr>
                <w:noProof/>
                <w:webHidden/>
              </w:rPr>
              <w:fldChar w:fldCharType="begin"/>
            </w:r>
            <w:r w:rsidR="004F4CD7">
              <w:rPr>
                <w:noProof/>
                <w:webHidden/>
              </w:rPr>
              <w:instrText xml:space="preserve"> PAGEREF _Toc165038257 \h </w:instrText>
            </w:r>
            <w:r w:rsidR="004F4CD7">
              <w:rPr>
                <w:noProof/>
                <w:webHidden/>
              </w:rPr>
            </w:r>
            <w:r w:rsidR="004F4CD7">
              <w:rPr>
                <w:noProof/>
                <w:webHidden/>
              </w:rPr>
              <w:fldChar w:fldCharType="separate"/>
            </w:r>
            <w:r w:rsidR="004F4CD7">
              <w:rPr>
                <w:noProof/>
                <w:webHidden/>
              </w:rPr>
              <w:t>33</w:t>
            </w:r>
            <w:r w:rsidR="004F4CD7">
              <w:rPr>
                <w:noProof/>
                <w:webHidden/>
              </w:rPr>
              <w:fldChar w:fldCharType="end"/>
            </w:r>
          </w:hyperlink>
        </w:p>
        <w:p w14:paraId="44C15EAF" w14:textId="414B9A4F" w:rsidR="004F4CD7" w:rsidRDefault="00000000">
          <w:pPr>
            <w:pStyle w:val="TOC2"/>
            <w:tabs>
              <w:tab w:val="right" w:leader="dot" w:pos="9350"/>
            </w:tabs>
            <w:rPr>
              <w:noProof/>
              <w:sz w:val="22"/>
            </w:rPr>
          </w:pPr>
          <w:hyperlink w:anchor="_Toc165038258" w:history="1">
            <w:r w:rsidR="004F4CD7" w:rsidRPr="00244A7F">
              <w:rPr>
                <w:rStyle w:val="Hyperlink"/>
                <w:noProof/>
              </w:rPr>
              <w:t>113.08 S24 Support Noncredit Instructional Programs Equitable and Affordable Access to Learning Opportunities for Students of All Ages</w:t>
            </w:r>
            <w:r w:rsidR="004F4CD7">
              <w:rPr>
                <w:noProof/>
                <w:webHidden/>
              </w:rPr>
              <w:tab/>
            </w:r>
            <w:r w:rsidR="004F4CD7">
              <w:rPr>
                <w:noProof/>
                <w:webHidden/>
              </w:rPr>
              <w:fldChar w:fldCharType="begin"/>
            </w:r>
            <w:r w:rsidR="004F4CD7">
              <w:rPr>
                <w:noProof/>
                <w:webHidden/>
              </w:rPr>
              <w:instrText xml:space="preserve"> PAGEREF _Toc165038258 \h </w:instrText>
            </w:r>
            <w:r w:rsidR="004F4CD7">
              <w:rPr>
                <w:noProof/>
                <w:webHidden/>
              </w:rPr>
            </w:r>
            <w:r w:rsidR="004F4CD7">
              <w:rPr>
                <w:noProof/>
                <w:webHidden/>
              </w:rPr>
              <w:fldChar w:fldCharType="separate"/>
            </w:r>
            <w:r w:rsidR="004F4CD7">
              <w:rPr>
                <w:noProof/>
                <w:webHidden/>
              </w:rPr>
              <w:t>34</w:t>
            </w:r>
            <w:r w:rsidR="004F4CD7">
              <w:rPr>
                <w:noProof/>
                <w:webHidden/>
              </w:rPr>
              <w:fldChar w:fldCharType="end"/>
            </w:r>
          </w:hyperlink>
        </w:p>
        <w:p w14:paraId="495A379D" w14:textId="76BE9690" w:rsidR="004F4CD7" w:rsidRDefault="00000000">
          <w:pPr>
            <w:pStyle w:val="TOC1"/>
            <w:tabs>
              <w:tab w:val="right" w:leader="dot" w:pos="9350"/>
            </w:tabs>
            <w:rPr>
              <w:noProof/>
              <w:sz w:val="22"/>
            </w:rPr>
          </w:pPr>
          <w:hyperlink w:anchor="_Toc165038259" w:history="1">
            <w:r w:rsidR="004F4CD7" w:rsidRPr="00244A7F">
              <w:rPr>
                <w:rStyle w:val="Hyperlink"/>
                <w:noProof/>
              </w:rPr>
              <w:t>114 CONSULTATION WITH THE CALIFORNIA COMMUNITY COLLEGES CHANCELLOR’S OFFICE</w:t>
            </w:r>
            <w:r w:rsidR="004F4CD7">
              <w:rPr>
                <w:noProof/>
                <w:webHidden/>
              </w:rPr>
              <w:tab/>
            </w:r>
            <w:r w:rsidR="004F4CD7">
              <w:rPr>
                <w:noProof/>
                <w:webHidden/>
              </w:rPr>
              <w:fldChar w:fldCharType="begin"/>
            </w:r>
            <w:r w:rsidR="004F4CD7">
              <w:rPr>
                <w:noProof/>
                <w:webHidden/>
              </w:rPr>
              <w:instrText xml:space="preserve"> PAGEREF _Toc165038259 \h </w:instrText>
            </w:r>
            <w:r w:rsidR="004F4CD7">
              <w:rPr>
                <w:noProof/>
                <w:webHidden/>
              </w:rPr>
            </w:r>
            <w:r w:rsidR="004F4CD7">
              <w:rPr>
                <w:noProof/>
                <w:webHidden/>
              </w:rPr>
              <w:fldChar w:fldCharType="separate"/>
            </w:r>
            <w:r w:rsidR="004F4CD7">
              <w:rPr>
                <w:noProof/>
                <w:webHidden/>
              </w:rPr>
              <w:t>35</w:t>
            </w:r>
            <w:r w:rsidR="004F4CD7">
              <w:rPr>
                <w:noProof/>
                <w:webHidden/>
              </w:rPr>
              <w:fldChar w:fldCharType="end"/>
            </w:r>
          </w:hyperlink>
        </w:p>
        <w:p w14:paraId="25146C49" w14:textId="6B74A3EA" w:rsidR="004F4CD7" w:rsidRDefault="00000000">
          <w:pPr>
            <w:pStyle w:val="TOC2"/>
            <w:tabs>
              <w:tab w:val="right" w:leader="dot" w:pos="9350"/>
            </w:tabs>
            <w:rPr>
              <w:noProof/>
              <w:sz w:val="22"/>
            </w:rPr>
          </w:pPr>
          <w:hyperlink w:anchor="_Toc165038260" w:history="1">
            <w:r w:rsidR="004F4CD7" w:rsidRPr="00244A7F">
              <w:rPr>
                <w:rStyle w:val="Hyperlink"/>
                <w:noProof/>
                <w:lang w:val="en"/>
              </w:rPr>
              <w:t>114.01 S24 A-G Requirements Website to Support Dual Enrollment</w:t>
            </w:r>
            <w:r w:rsidR="004F4CD7">
              <w:rPr>
                <w:noProof/>
                <w:webHidden/>
              </w:rPr>
              <w:tab/>
            </w:r>
            <w:r w:rsidR="004F4CD7">
              <w:rPr>
                <w:noProof/>
                <w:webHidden/>
              </w:rPr>
              <w:fldChar w:fldCharType="begin"/>
            </w:r>
            <w:r w:rsidR="004F4CD7">
              <w:rPr>
                <w:noProof/>
                <w:webHidden/>
              </w:rPr>
              <w:instrText xml:space="preserve"> PAGEREF _Toc165038260 \h </w:instrText>
            </w:r>
            <w:r w:rsidR="004F4CD7">
              <w:rPr>
                <w:noProof/>
                <w:webHidden/>
              </w:rPr>
            </w:r>
            <w:r w:rsidR="004F4CD7">
              <w:rPr>
                <w:noProof/>
                <w:webHidden/>
              </w:rPr>
              <w:fldChar w:fldCharType="separate"/>
            </w:r>
            <w:r w:rsidR="004F4CD7">
              <w:rPr>
                <w:noProof/>
                <w:webHidden/>
              </w:rPr>
              <w:t>35</w:t>
            </w:r>
            <w:r w:rsidR="004F4CD7">
              <w:rPr>
                <w:noProof/>
                <w:webHidden/>
              </w:rPr>
              <w:fldChar w:fldCharType="end"/>
            </w:r>
          </w:hyperlink>
        </w:p>
        <w:p w14:paraId="1B8AF5BA" w14:textId="14664C59" w:rsidR="004F4CD7" w:rsidRDefault="00000000">
          <w:pPr>
            <w:pStyle w:val="TOC2"/>
            <w:tabs>
              <w:tab w:val="right" w:leader="dot" w:pos="9350"/>
            </w:tabs>
            <w:rPr>
              <w:noProof/>
              <w:sz w:val="22"/>
            </w:rPr>
          </w:pPr>
          <w:hyperlink w:anchor="_Toc165038261" w:history="1">
            <w:r w:rsidR="004F4CD7" w:rsidRPr="00244A7F">
              <w:rPr>
                <w:rStyle w:val="Hyperlink"/>
                <w:noProof/>
                <w:lang w:val="en"/>
              </w:rPr>
              <w:t>114.02 S24 Noncredit in the California Virtual Campus</w:t>
            </w:r>
            <w:r w:rsidR="004F4CD7">
              <w:rPr>
                <w:noProof/>
                <w:webHidden/>
              </w:rPr>
              <w:tab/>
            </w:r>
            <w:r w:rsidR="004F4CD7">
              <w:rPr>
                <w:noProof/>
                <w:webHidden/>
              </w:rPr>
              <w:fldChar w:fldCharType="begin"/>
            </w:r>
            <w:r w:rsidR="004F4CD7">
              <w:rPr>
                <w:noProof/>
                <w:webHidden/>
              </w:rPr>
              <w:instrText xml:space="preserve"> PAGEREF _Toc165038261 \h </w:instrText>
            </w:r>
            <w:r w:rsidR="004F4CD7">
              <w:rPr>
                <w:noProof/>
                <w:webHidden/>
              </w:rPr>
            </w:r>
            <w:r w:rsidR="004F4CD7">
              <w:rPr>
                <w:noProof/>
                <w:webHidden/>
              </w:rPr>
              <w:fldChar w:fldCharType="separate"/>
            </w:r>
            <w:r w:rsidR="004F4CD7">
              <w:rPr>
                <w:noProof/>
                <w:webHidden/>
              </w:rPr>
              <w:t>36</w:t>
            </w:r>
            <w:r w:rsidR="004F4CD7">
              <w:rPr>
                <w:noProof/>
                <w:webHidden/>
              </w:rPr>
              <w:fldChar w:fldCharType="end"/>
            </w:r>
          </w:hyperlink>
        </w:p>
        <w:p w14:paraId="3D01A5CE" w14:textId="7D26B5D1" w:rsidR="004F4CD7" w:rsidRDefault="00000000">
          <w:pPr>
            <w:pStyle w:val="TOC2"/>
            <w:tabs>
              <w:tab w:val="right" w:leader="dot" w:pos="9350"/>
            </w:tabs>
            <w:rPr>
              <w:noProof/>
              <w:sz w:val="22"/>
            </w:rPr>
          </w:pPr>
          <w:hyperlink w:anchor="_Toc165038262" w:history="1">
            <w:r w:rsidR="004F4CD7" w:rsidRPr="00244A7F">
              <w:rPr>
                <w:rStyle w:val="Hyperlink"/>
                <w:noProof/>
                <w:lang w:val="en"/>
              </w:rPr>
              <w:t>114.03 S24 Disaggregating Asian and Pacific Islander Student Data</w:t>
            </w:r>
            <w:r w:rsidR="004F4CD7">
              <w:rPr>
                <w:noProof/>
                <w:webHidden/>
              </w:rPr>
              <w:tab/>
            </w:r>
            <w:r w:rsidR="004F4CD7">
              <w:rPr>
                <w:noProof/>
                <w:webHidden/>
              </w:rPr>
              <w:fldChar w:fldCharType="begin"/>
            </w:r>
            <w:r w:rsidR="004F4CD7">
              <w:rPr>
                <w:noProof/>
                <w:webHidden/>
              </w:rPr>
              <w:instrText xml:space="preserve"> PAGEREF _Toc165038262 \h </w:instrText>
            </w:r>
            <w:r w:rsidR="004F4CD7">
              <w:rPr>
                <w:noProof/>
                <w:webHidden/>
              </w:rPr>
            </w:r>
            <w:r w:rsidR="004F4CD7">
              <w:rPr>
                <w:noProof/>
                <w:webHidden/>
              </w:rPr>
              <w:fldChar w:fldCharType="separate"/>
            </w:r>
            <w:r w:rsidR="004F4CD7">
              <w:rPr>
                <w:noProof/>
                <w:webHidden/>
              </w:rPr>
              <w:t>36</w:t>
            </w:r>
            <w:r w:rsidR="004F4CD7">
              <w:rPr>
                <w:noProof/>
                <w:webHidden/>
              </w:rPr>
              <w:fldChar w:fldCharType="end"/>
            </w:r>
          </w:hyperlink>
        </w:p>
        <w:p w14:paraId="0342A363" w14:textId="1E5B39B8" w:rsidR="004F4CD7" w:rsidRDefault="00000000">
          <w:pPr>
            <w:pStyle w:val="TOC2"/>
            <w:tabs>
              <w:tab w:val="right" w:leader="dot" w:pos="9350"/>
            </w:tabs>
            <w:rPr>
              <w:noProof/>
              <w:sz w:val="22"/>
            </w:rPr>
          </w:pPr>
          <w:hyperlink w:anchor="_Toc165038263" w:history="1">
            <w:r w:rsidR="004F4CD7" w:rsidRPr="00244A7F">
              <w:rPr>
                <w:rStyle w:val="Hyperlink"/>
                <w:noProof/>
              </w:rPr>
              <w:t>114.04 S24 Aligning with AB 1705 Legislative Intent</w:t>
            </w:r>
            <w:r w:rsidR="004F4CD7">
              <w:rPr>
                <w:noProof/>
                <w:webHidden/>
              </w:rPr>
              <w:tab/>
            </w:r>
            <w:r w:rsidR="004F4CD7">
              <w:rPr>
                <w:noProof/>
                <w:webHidden/>
              </w:rPr>
              <w:fldChar w:fldCharType="begin"/>
            </w:r>
            <w:r w:rsidR="004F4CD7">
              <w:rPr>
                <w:noProof/>
                <w:webHidden/>
              </w:rPr>
              <w:instrText xml:space="preserve"> PAGEREF _Toc165038263 \h </w:instrText>
            </w:r>
            <w:r w:rsidR="004F4CD7">
              <w:rPr>
                <w:noProof/>
                <w:webHidden/>
              </w:rPr>
            </w:r>
            <w:r w:rsidR="004F4CD7">
              <w:rPr>
                <w:noProof/>
                <w:webHidden/>
              </w:rPr>
              <w:fldChar w:fldCharType="separate"/>
            </w:r>
            <w:r w:rsidR="004F4CD7">
              <w:rPr>
                <w:noProof/>
                <w:webHidden/>
              </w:rPr>
              <w:t>37</w:t>
            </w:r>
            <w:r w:rsidR="004F4CD7">
              <w:rPr>
                <w:noProof/>
                <w:webHidden/>
              </w:rPr>
              <w:fldChar w:fldCharType="end"/>
            </w:r>
          </w:hyperlink>
        </w:p>
        <w:p w14:paraId="2E82AE62" w14:textId="71F84053" w:rsidR="004F4CD7" w:rsidRDefault="00000000">
          <w:pPr>
            <w:pStyle w:val="TOC2"/>
            <w:tabs>
              <w:tab w:val="right" w:leader="dot" w:pos="9350"/>
            </w:tabs>
            <w:rPr>
              <w:noProof/>
              <w:sz w:val="22"/>
            </w:rPr>
          </w:pPr>
          <w:hyperlink w:anchor="_Toc165038264" w:history="1">
            <w:r w:rsidR="004F4CD7" w:rsidRPr="00244A7F">
              <w:rPr>
                <w:rStyle w:val="Hyperlink"/>
                <w:noProof/>
              </w:rPr>
              <w:t>114.05 S24 Advocate for STEM Students to be Allowed to Take Non-validated "pre-calculus" Classes as Electives</w:t>
            </w:r>
            <w:r w:rsidR="004F4CD7">
              <w:rPr>
                <w:noProof/>
                <w:webHidden/>
              </w:rPr>
              <w:tab/>
            </w:r>
            <w:r w:rsidR="004F4CD7">
              <w:rPr>
                <w:noProof/>
                <w:webHidden/>
              </w:rPr>
              <w:fldChar w:fldCharType="begin"/>
            </w:r>
            <w:r w:rsidR="004F4CD7">
              <w:rPr>
                <w:noProof/>
                <w:webHidden/>
              </w:rPr>
              <w:instrText xml:space="preserve"> PAGEREF _Toc165038264 \h </w:instrText>
            </w:r>
            <w:r w:rsidR="004F4CD7">
              <w:rPr>
                <w:noProof/>
                <w:webHidden/>
              </w:rPr>
            </w:r>
            <w:r w:rsidR="004F4CD7">
              <w:rPr>
                <w:noProof/>
                <w:webHidden/>
              </w:rPr>
              <w:fldChar w:fldCharType="separate"/>
            </w:r>
            <w:r w:rsidR="004F4CD7">
              <w:rPr>
                <w:noProof/>
                <w:webHidden/>
              </w:rPr>
              <w:t>38</w:t>
            </w:r>
            <w:r w:rsidR="004F4CD7">
              <w:rPr>
                <w:noProof/>
                <w:webHidden/>
              </w:rPr>
              <w:fldChar w:fldCharType="end"/>
            </w:r>
          </w:hyperlink>
        </w:p>
        <w:p w14:paraId="6668BFE4" w14:textId="46C0B493" w:rsidR="004F4CD7" w:rsidRDefault="00000000">
          <w:pPr>
            <w:pStyle w:val="TOC2"/>
            <w:tabs>
              <w:tab w:val="right" w:leader="dot" w:pos="9350"/>
            </w:tabs>
            <w:rPr>
              <w:noProof/>
              <w:sz w:val="22"/>
            </w:rPr>
          </w:pPr>
          <w:hyperlink w:anchor="_Toc165038265" w:history="1">
            <w:r w:rsidR="004F4CD7" w:rsidRPr="00244A7F">
              <w:rPr>
                <w:rStyle w:val="Hyperlink"/>
                <w:noProof/>
              </w:rPr>
              <w:t>114.06 S24 Update Transfer Level Gateway Completion Dashboard</w:t>
            </w:r>
            <w:r w:rsidR="004F4CD7">
              <w:rPr>
                <w:noProof/>
                <w:webHidden/>
              </w:rPr>
              <w:tab/>
            </w:r>
            <w:r w:rsidR="004F4CD7">
              <w:rPr>
                <w:noProof/>
                <w:webHidden/>
              </w:rPr>
              <w:fldChar w:fldCharType="begin"/>
            </w:r>
            <w:r w:rsidR="004F4CD7">
              <w:rPr>
                <w:noProof/>
                <w:webHidden/>
              </w:rPr>
              <w:instrText xml:space="preserve"> PAGEREF _Toc165038265 \h </w:instrText>
            </w:r>
            <w:r w:rsidR="004F4CD7">
              <w:rPr>
                <w:noProof/>
                <w:webHidden/>
              </w:rPr>
            </w:r>
            <w:r w:rsidR="004F4CD7">
              <w:rPr>
                <w:noProof/>
                <w:webHidden/>
              </w:rPr>
              <w:fldChar w:fldCharType="separate"/>
            </w:r>
            <w:r w:rsidR="004F4CD7">
              <w:rPr>
                <w:noProof/>
                <w:webHidden/>
              </w:rPr>
              <w:t>39</w:t>
            </w:r>
            <w:r w:rsidR="004F4CD7">
              <w:rPr>
                <w:noProof/>
                <w:webHidden/>
              </w:rPr>
              <w:fldChar w:fldCharType="end"/>
            </w:r>
          </w:hyperlink>
        </w:p>
        <w:p w14:paraId="5B9679F3" w14:textId="291C39D7" w:rsidR="004F4CD7" w:rsidRDefault="00000000">
          <w:pPr>
            <w:pStyle w:val="TOC1"/>
            <w:tabs>
              <w:tab w:val="right" w:leader="dot" w:pos="9350"/>
            </w:tabs>
            <w:rPr>
              <w:noProof/>
              <w:sz w:val="22"/>
            </w:rPr>
          </w:pPr>
          <w:hyperlink w:anchor="_Toc165038266" w:history="1">
            <w:r w:rsidR="004F4CD7" w:rsidRPr="00244A7F">
              <w:rPr>
                <w:rStyle w:val="Hyperlink"/>
                <w:noProof/>
              </w:rPr>
              <w:t>FAILED RESOLUTIONS AND AMENDMENTS</w:t>
            </w:r>
            <w:r w:rsidR="004F4CD7">
              <w:rPr>
                <w:noProof/>
                <w:webHidden/>
              </w:rPr>
              <w:tab/>
            </w:r>
            <w:r w:rsidR="004F4CD7">
              <w:rPr>
                <w:noProof/>
                <w:webHidden/>
              </w:rPr>
              <w:fldChar w:fldCharType="begin"/>
            </w:r>
            <w:r w:rsidR="004F4CD7">
              <w:rPr>
                <w:noProof/>
                <w:webHidden/>
              </w:rPr>
              <w:instrText xml:space="preserve"> PAGEREF _Toc165038266 \h </w:instrText>
            </w:r>
            <w:r w:rsidR="004F4CD7">
              <w:rPr>
                <w:noProof/>
                <w:webHidden/>
              </w:rPr>
            </w:r>
            <w:r w:rsidR="004F4CD7">
              <w:rPr>
                <w:noProof/>
                <w:webHidden/>
              </w:rPr>
              <w:fldChar w:fldCharType="separate"/>
            </w:r>
            <w:r w:rsidR="004F4CD7">
              <w:rPr>
                <w:noProof/>
                <w:webHidden/>
              </w:rPr>
              <w:t>41</w:t>
            </w:r>
            <w:r w:rsidR="004F4CD7">
              <w:rPr>
                <w:noProof/>
                <w:webHidden/>
              </w:rPr>
              <w:fldChar w:fldCharType="end"/>
            </w:r>
          </w:hyperlink>
        </w:p>
        <w:p w14:paraId="36D13D3D" w14:textId="266B343C" w:rsidR="004F4CD7" w:rsidRDefault="00000000">
          <w:pPr>
            <w:pStyle w:val="TOC2"/>
            <w:tabs>
              <w:tab w:val="right" w:leader="dot" w:pos="9350"/>
            </w:tabs>
            <w:rPr>
              <w:noProof/>
              <w:sz w:val="22"/>
            </w:rPr>
          </w:pPr>
          <w:hyperlink w:anchor="_Toc165038267" w:history="1">
            <w:r w:rsidR="004F4CD7" w:rsidRPr="00244A7F">
              <w:rPr>
                <w:rStyle w:val="Hyperlink"/>
                <w:noProof/>
              </w:rPr>
              <w:t>102.03.01 S24 Amend Resolution 102.03</w:t>
            </w:r>
            <w:r w:rsidR="004F4CD7">
              <w:rPr>
                <w:noProof/>
                <w:webHidden/>
              </w:rPr>
              <w:tab/>
            </w:r>
            <w:r w:rsidR="004F4CD7">
              <w:rPr>
                <w:noProof/>
                <w:webHidden/>
              </w:rPr>
              <w:fldChar w:fldCharType="begin"/>
            </w:r>
            <w:r w:rsidR="004F4CD7">
              <w:rPr>
                <w:noProof/>
                <w:webHidden/>
              </w:rPr>
              <w:instrText xml:space="preserve"> PAGEREF _Toc165038267 \h </w:instrText>
            </w:r>
            <w:r w:rsidR="004F4CD7">
              <w:rPr>
                <w:noProof/>
                <w:webHidden/>
              </w:rPr>
            </w:r>
            <w:r w:rsidR="004F4CD7">
              <w:rPr>
                <w:noProof/>
                <w:webHidden/>
              </w:rPr>
              <w:fldChar w:fldCharType="separate"/>
            </w:r>
            <w:r w:rsidR="004F4CD7">
              <w:rPr>
                <w:noProof/>
                <w:webHidden/>
              </w:rPr>
              <w:t>41</w:t>
            </w:r>
            <w:r w:rsidR="004F4CD7">
              <w:rPr>
                <w:noProof/>
                <w:webHidden/>
              </w:rPr>
              <w:fldChar w:fldCharType="end"/>
            </w:r>
          </w:hyperlink>
        </w:p>
        <w:p w14:paraId="14271E76" w14:textId="441C98C1" w:rsidR="004F4CD7" w:rsidRDefault="00000000">
          <w:pPr>
            <w:pStyle w:val="TOC2"/>
            <w:tabs>
              <w:tab w:val="right" w:leader="dot" w:pos="9350"/>
            </w:tabs>
            <w:rPr>
              <w:noProof/>
              <w:sz w:val="22"/>
            </w:rPr>
          </w:pPr>
          <w:hyperlink w:anchor="_Toc165038268" w:history="1">
            <w:r w:rsidR="004F4CD7" w:rsidRPr="00244A7F">
              <w:rPr>
                <w:rStyle w:val="Hyperlink"/>
                <w:noProof/>
                <w:lang w:val="en"/>
              </w:rPr>
              <w:t>113.09 S24 Oppose Senate Bill 1287 (Glazer, as of April 3, 2024) Public Postsecondary Education: Equity in Higher Education Act: Prohibition on Harassment, Intimidation, and Discrimination</w:t>
            </w:r>
            <w:r w:rsidR="004F4CD7">
              <w:rPr>
                <w:noProof/>
                <w:webHidden/>
              </w:rPr>
              <w:tab/>
            </w:r>
            <w:r w:rsidR="004F4CD7">
              <w:rPr>
                <w:noProof/>
                <w:webHidden/>
              </w:rPr>
              <w:fldChar w:fldCharType="begin"/>
            </w:r>
            <w:r w:rsidR="004F4CD7">
              <w:rPr>
                <w:noProof/>
                <w:webHidden/>
              </w:rPr>
              <w:instrText xml:space="preserve"> PAGEREF _Toc165038268 \h </w:instrText>
            </w:r>
            <w:r w:rsidR="004F4CD7">
              <w:rPr>
                <w:noProof/>
                <w:webHidden/>
              </w:rPr>
            </w:r>
            <w:r w:rsidR="004F4CD7">
              <w:rPr>
                <w:noProof/>
                <w:webHidden/>
              </w:rPr>
              <w:fldChar w:fldCharType="separate"/>
            </w:r>
            <w:r w:rsidR="004F4CD7">
              <w:rPr>
                <w:noProof/>
                <w:webHidden/>
              </w:rPr>
              <w:t>41</w:t>
            </w:r>
            <w:r w:rsidR="004F4CD7">
              <w:rPr>
                <w:noProof/>
                <w:webHidden/>
              </w:rPr>
              <w:fldChar w:fldCharType="end"/>
            </w:r>
          </w:hyperlink>
        </w:p>
        <w:p w14:paraId="3BC84B6A" w14:textId="4DA6D0CF" w:rsidR="004F4CD7" w:rsidRDefault="00000000">
          <w:pPr>
            <w:pStyle w:val="TOC1"/>
            <w:tabs>
              <w:tab w:val="right" w:leader="dot" w:pos="9350"/>
            </w:tabs>
            <w:rPr>
              <w:noProof/>
              <w:sz w:val="22"/>
            </w:rPr>
          </w:pPr>
          <w:hyperlink w:anchor="_Toc165038269" w:history="1">
            <w:r w:rsidR="004F4CD7" w:rsidRPr="00244A7F">
              <w:rPr>
                <w:rStyle w:val="Hyperlink"/>
                <w:noProof/>
              </w:rPr>
              <w:t>DELEGATES</w:t>
            </w:r>
            <w:r w:rsidR="004F4CD7">
              <w:rPr>
                <w:noProof/>
                <w:webHidden/>
              </w:rPr>
              <w:tab/>
            </w:r>
            <w:r w:rsidR="004F4CD7">
              <w:rPr>
                <w:noProof/>
                <w:webHidden/>
              </w:rPr>
              <w:fldChar w:fldCharType="begin"/>
            </w:r>
            <w:r w:rsidR="004F4CD7">
              <w:rPr>
                <w:noProof/>
                <w:webHidden/>
              </w:rPr>
              <w:instrText xml:space="preserve"> PAGEREF _Toc165038269 \h </w:instrText>
            </w:r>
            <w:r w:rsidR="004F4CD7">
              <w:rPr>
                <w:noProof/>
                <w:webHidden/>
              </w:rPr>
            </w:r>
            <w:r w:rsidR="004F4CD7">
              <w:rPr>
                <w:noProof/>
                <w:webHidden/>
              </w:rPr>
              <w:fldChar w:fldCharType="separate"/>
            </w:r>
            <w:r w:rsidR="004F4CD7">
              <w:rPr>
                <w:noProof/>
                <w:webHidden/>
              </w:rPr>
              <w:t>43</w:t>
            </w:r>
            <w:r w:rsidR="004F4CD7">
              <w:rPr>
                <w:noProof/>
                <w:webHidden/>
              </w:rPr>
              <w:fldChar w:fldCharType="end"/>
            </w:r>
          </w:hyperlink>
        </w:p>
        <w:p w14:paraId="2EBF3877" w14:textId="0E020457" w:rsidR="004C3EFC" w:rsidRDefault="004C3EFC">
          <w:r>
            <w:rPr>
              <w:b/>
              <w:bCs/>
              <w:noProof/>
            </w:rPr>
            <w:fldChar w:fldCharType="end"/>
          </w:r>
        </w:p>
      </w:sdtContent>
    </w:sdt>
    <w:p w14:paraId="514EED59" w14:textId="77777777" w:rsidR="00E36460" w:rsidRDefault="00E36460" w:rsidP="00E36460">
      <w:pPr>
        <w:pStyle w:val="Heading1"/>
        <w:spacing w:after="240"/>
        <w:jc w:val="center"/>
        <w:rPr>
          <w:b w:val="0"/>
          <w:bCs/>
        </w:rPr>
      </w:pPr>
      <w:bookmarkStart w:id="1" w:name="_Toc115935474"/>
      <w:bookmarkStart w:id="2" w:name="_Toc152013008"/>
      <w:bookmarkStart w:id="3" w:name="_Toc165038223"/>
      <w:bookmarkStart w:id="4" w:name="_Toc115935475"/>
      <w:r>
        <w:rPr>
          <w:b w:val="0"/>
          <w:bCs/>
        </w:rPr>
        <w:lastRenderedPageBreak/>
        <w:t xml:space="preserve">RECORDING </w:t>
      </w:r>
      <w:r w:rsidRPr="004C3EFC">
        <w:rPr>
          <w:b w:val="0"/>
          <w:bCs/>
        </w:rPr>
        <w:t xml:space="preserve">RESOLUTIONS </w:t>
      </w:r>
      <w:bookmarkEnd w:id="1"/>
      <w:r>
        <w:rPr>
          <w:b w:val="0"/>
          <w:bCs/>
        </w:rPr>
        <w:t>VOTING</w:t>
      </w:r>
      <w:bookmarkEnd w:id="2"/>
      <w:bookmarkEnd w:id="3"/>
    </w:p>
    <w:p w14:paraId="5BF46245" w14:textId="77777777" w:rsidR="00E36460" w:rsidRDefault="00E36460" w:rsidP="00E36460">
      <w:pPr>
        <w:ind w:left="120" w:right="-14"/>
        <w:rPr>
          <w:rFonts w:eastAsia="Times New Roman" w:cstheme="minorHAnsi"/>
          <w:szCs w:val="24"/>
        </w:rPr>
      </w:pPr>
      <w:r>
        <w:rPr>
          <w:rFonts w:eastAsia="Times New Roman" w:cstheme="minorHAnsi"/>
          <w:szCs w:val="24"/>
        </w:rPr>
        <w:t xml:space="preserve">Final results of voting on resolutions are recorded using the following, based on the </w:t>
      </w:r>
      <w:hyperlink r:id="rId9" w:history="1">
        <w:r w:rsidRPr="005E6652">
          <w:rPr>
            <w:rStyle w:val="Hyperlink"/>
            <w:rFonts w:eastAsia="Times New Roman" w:cstheme="minorHAnsi"/>
            <w:i/>
            <w:iCs/>
            <w:szCs w:val="24"/>
          </w:rPr>
          <w:t>Resolutions Handbook</w:t>
        </w:r>
      </w:hyperlink>
      <w:r>
        <w:rPr>
          <w:rFonts w:eastAsia="Times New Roman" w:cstheme="minorHAnsi"/>
          <w:szCs w:val="24"/>
        </w:rPr>
        <w:t xml:space="preserve"> (page 12):</w:t>
      </w:r>
    </w:p>
    <w:p w14:paraId="496AE355" w14:textId="77777777" w:rsidR="00E36460" w:rsidRPr="00482C67" w:rsidRDefault="00E36460" w:rsidP="00E36460">
      <w:pPr>
        <w:numPr>
          <w:ilvl w:val="0"/>
          <w:numId w:val="3"/>
        </w:numPr>
        <w:spacing w:after="0" w:line="240" w:lineRule="auto"/>
        <w:ind w:left="630" w:right="-14" w:hanging="180"/>
        <w:textAlignment w:val="baseline"/>
        <w:rPr>
          <w:rFonts w:eastAsia="Times New Roman" w:cstheme="minorHAnsi"/>
          <w:szCs w:val="24"/>
        </w:rPr>
      </w:pPr>
      <w:r w:rsidRPr="00482C67">
        <w:rPr>
          <w:rFonts w:eastAsia="Times New Roman" w:cstheme="minorHAnsi"/>
          <w:szCs w:val="24"/>
        </w:rPr>
        <w:t>MSC: Moved, Seconded, Carried</w:t>
      </w:r>
    </w:p>
    <w:p w14:paraId="24A00DCB" w14:textId="77777777" w:rsidR="00E36460" w:rsidRPr="00482C67" w:rsidRDefault="00E36460" w:rsidP="00E36460">
      <w:pPr>
        <w:numPr>
          <w:ilvl w:val="0"/>
          <w:numId w:val="3"/>
        </w:numPr>
        <w:spacing w:after="0" w:line="240" w:lineRule="auto"/>
        <w:ind w:left="630" w:right="-14" w:hanging="180"/>
        <w:textAlignment w:val="baseline"/>
        <w:rPr>
          <w:rFonts w:eastAsia="Times New Roman" w:cstheme="minorHAnsi"/>
          <w:szCs w:val="24"/>
        </w:rPr>
      </w:pPr>
      <w:r w:rsidRPr="00482C67">
        <w:rPr>
          <w:rFonts w:eastAsia="Times New Roman" w:cstheme="minorHAnsi"/>
          <w:szCs w:val="24"/>
        </w:rPr>
        <w:t>MSF: Moved, Seconded, Failed</w:t>
      </w:r>
    </w:p>
    <w:p w14:paraId="2B3DFD63" w14:textId="6A5BF6BE" w:rsidR="00E36460" w:rsidRDefault="00E36460" w:rsidP="00E36460">
      <w:pPr>
        <w:numPr>
          <w:ilvl w:val="0"/>
          <w:numId w:val="3"/>
        </w:numPr>
        <w:spacing w:after="0" w:line="240" w:lineRule="auto"/>
        <w:ind w:left="630" w:right="-14" w:hanging="180"/>
        <w:textAlignment w:val="baseline"/>
        <w:rPr>
          <w:rFonts w:eastAsia="Times New Roman" w:cstheme="minorHAnsi"/>
          <w:szCs w:val="24"/>
        </w:rPr>
      </w:pPr>
      <w:r w:rsidRPr="00482C67">
        <w:rPr>
          <w:rFonts w:eastAsia="Times New Roman" w:cstheme="minorHAnsi"/>
          <w:szCs w:val="24"/>
        </w:rPr>
        <w:t>MSR: Moved, Seconded</w:t>
      </w:r>
      <w:r w:rsidR="00F93EC6">
        <w:rPr>
          <w:rFonts w:eastAsia="Times New Roman" w:cstheme="minorHAnsi"/>
          <w:szCs w:val="24"/>
        </w:rPr>
        <w:t>,</w:t>
      </w:r>
      <w:r w:rsidRPr="00482C67">
        <w:rPr>
          <w:rFonts w:eastAsia="Times New Roman" w:cstheme="minorHAnsi"/>
          <w:szCs w:val="24"/>
        </w:rPr>
        <w:t xml:space="preserve"> Referred</w:t>
      </w:r>
    </w:p>
    <w:p w14:paraId="042E943D" w14:textId="77777777" w:rsidR="00E36460" w:rsidRPr="00482C67" w:rsidRDefault="00E36460" w:rsidP="00E36460">
      <w:pPr>
        <w:numPr>
          <w:ilvl w:val="0"/>
          <w:numId w:val="3"/>
        </w:numPr>
        <w:spacing w:after="0" w:line="240" w:lineRule="auto"/>
        <w:ind w:left="630" w:right="-14" w:hanging="180"/>
        <w:textAlignment w:val="baseline"/>
        <w:rPr>
          <w:rFonts w:eastAsia="Times New Roman" w:cstheme="minorHAnsi"/>
          <w:szCs w:val="24"/>
        </w:rPr>
      </w:pPr>
      <w:r w:rsidRPr="00482C67">
        <w:rPr>
          <w:rFonts w:eastAsia="Times New Roman" w:cstheme="minorHAnsi"/>
          <w:szCs w:val="24"/>
        </w:rPr>
        <w:t>MSU: Moved, Seconded, Unanimous</w:t>
      </w:r>
      <w:r>
        <w:rPr>
          <w:rFonts w:eastAsia="Times New Roman" w:cstheme="minorHAnsi"/>
          <w:szCs w:val="24"/>
        </w:rPr>
        <w:t xml:space="preserve"> (including consent calendar &amp; unanimous consent)</w:t>
      </w:r>
    </w:p>
    <w:p w14:paraId="09F99066" w14:textId="77777777" w:rsidR="00E36460" w:rsidRPr="008807EC" w:rsidRDefault="00E36460" w:rsidP="00E36460">
      <w:pPr>
        <w:numPr>
          <w:ilvl w:val="0"/>
          <w:numId w:val="3"/>
        </w:numPr>
        <w:spacing w:after="0" w:line="240" w:lineRule="auto"/>
        <w:ind w:left="630" w:right="-14" w:hanging="180"/>
        <w:textAlignment w:val="baseline"/>
        <w:rPr>
          <w:rFonts w:eastAsia="Times New Roman" w:cstheme="minorHAnsi"/>
          <w:szCs w:val="24"/>
        </w:rPr>
      </w:pPr>
      <w:r>
        <w:rPr>
          <w:rFonts w:eastAsia="Times New Roman" w:cstheme="minorHAnsi"/>
          <w:szCs w:val="24"/>
        </w:rPr>
        <w:t>Acclamation: Moved, Seconded, Acclamation</w:t>
      </w:r>
    </w:p>
    <w:bookmarkEnd w:id="4"/>
    <w:p w14:paraId="4303BBE6" w14:textId="77777777" w:rsidR="0002174A" w:rsidRDefault="0002174A" w:rsidP="00AE6537">
      <w:pPr>
        <w:spacing w:after="0"/>
        <w:ind w:left="1260" w:hanging="810"/>
        <w:rPr>
          <w:rFonts w:eastAsia="Times New Roman" w:cstheme="minorHAnsi"/>
        </w:rPr>
      </w:pPr>
    </w:p>
    <w:p w14:paraId="0EF66B78" w14:textId="77777777" w:rsidR="00D6066E" w:rsidRDefault="00D6066E" w:rsidP="00AE6537">
      <w:pPr>
        <w:spacing w:after="0"/>
        <w:ind w:left="1260" w:hanging="810"/>
        <w:rPr>
          <w:rFonts w:eastAsia="Times New Roman" w:cstheme="minorHAnsi"/>
        </w:rPr>
      </w:pPr>
    </w:p>
    <w:p w14:paraId="03D643A8" w14:textId="77777777" w:rsidR="00D6066E" w:rsidRDefault="00D6066E" w:rsidP="00AE6537">
      <w:pPr>
        <w:spacing w:after="0"/>
        <w:ind w:left="1260" w:hanging="810"/>
        <w:rPr>
          <w:rFonts w:eastAsia="Times New Roman" w:cstheme="minorHAnsi"/>
        </w:rPr>
      </w:pPr>
    </w:p>
    <w:p w14:paraId="38BBBCBB" w14:textId="77777777" w:rsidR="00D6066E" w:rsidRDefault="00D6066E" w:rsidP="00AE6537">
      <w:pPr>
        <w:spacing w:after="0"/>
        <w:ind w:left="1260" w:hanging="810"/>
        <w:rPr>
          <w:rFonts w:eastAsia="Times New Roman" w:cstheme="minorHAnsi"/>
        </w:rPr>
      </w:pPr>
    </w:p>
    <w:p w14:paraId="72371059" w14:textId="4F246741" w:rsidR="00891CFE" w:rsidRDefault="00891CFE" w:rsidP="00891CFE">
      <w:pPr>
        <w:pStyle w:val="Heading1"/>
        <w:spacing w:after="240"/>
        <w:jc w:val="center"/>
        <w:rPr>
          <w:b w:val="0"/>
          <w:bCs/>
        </w:rPr>
      </w:pPr>
      <w:bookmarkStart w:id="5" w:name="_Toc165038224"/>
      <w:r>
        <w:rPr>
          <w:b w:val="0"/>
          <w:bCs/>
        </w:rPr>
        <w:t>NEW CATEGORIES</w:t>
      </w:r>
      <w:r w:rsidR="00BE3D9F">
        <w:rPr>
          <w:b w:val="0"/>
          <w:bCs/>
        </w:rPr>
        <w:t xml:space="preserve"> PILOT</w:t>
      </w:r>
      <w:bookmarkEnd w:id="5"/>
    </w:p>
    <w:p w14:paraId="62C1C8A2" w14:textId="5AC1369C" w:rsidR="00891CFE" w:rsidRDefault="00891CFE" w:rsidP="00891CFE">
      <w:r>
        <w:t xml:space="preserve">New resolutions categories that more closely align with the purview of the ASCCC are being piloted for </w:t>
      </w:r>
      <w:r w:rsidR="00EF572C">
        <w:t xml:space="preserve">the </w:t>
      </w:r>
      <w:r>
        <w:t>2024 Spring Plenary Session.  Numbering of these new pilot categories will begin from 101 for the first category, 102 for the second category, and so forth</w:t>
      </w:r>
      <w:r w:rsidR="00AC377D">
        <w:t xml:space="preserve"> to distinguish them from the old categories</w:t>
      </w:r>
      <w:r>
        <w:t>.</w:t>
      </w:r>
      <w:r w:rsidR="007054E2">
        <w:t xml:space="preserve">  The new categories being piloted this spring are:</w:t>
      </w:r>
    </w:p>
    <w:p w14:paraId="2A0850EA" w14:textId="77777777" w:rsidR="007054E2" w:rsidRPr="007054E2" w:rsidRDefault="007054E2" w:rsidP="00853898">
      <w:pPr>
        <w:numPr>
          <w:ilvl w:val="0"/>
          <w:numId w:val="7"/>
        </w:numPr>
        <w:spacing w:after="0"/>
      </w:pPr>
      <w:r w:rsidRPr="007054E2">
        <w:t xml:space="preserve">Curriculum </w:t>
      </w:r>
    </w:p>
    <w:p w14:paraId="1C14D888" w14:textId="77777777" w:rsidR="007054E2" w:rsidRPr="007054E2" w:rsidRDefault="007054E2" w:rsidP="007054E2">
      <w:pPr>
        <w:numPr>
          <w:ilvl w:val="0"/>
          <w:numId w:val="7"/>
        </w:numPr>
        <w:spacing w:after="0"/>
      </w:pPr>
      <w:r w:rsidRPr="007054E2">
        <w:t>Degree and Certificate Requirements</w:t>
      </w:r>
    </w:p>
    <w:p w14:paraId="66C3A3BC" w14:textId="77777777" w:rsidR="007054E2" w:rsidRPr="007054E2" w:rsidRDefault="007054E2" w:rsidP="007054E2">
      <w:pPr>
        <w:numPr>
          <w:ilvl w:val="0"/>
          <w:numId w:val="7"/>
        </w:numPr>
        <w:spacing w:after="0"/>
      </w:pPr>
      <w:r w:rsidRPr="007054E2">
        <w:t>Grading Policies</w:t>
      </w:r>
    </w:p>
    <w:p w14:paraId="7A6D4453" w14:textId="77777777" w:rsidR="007054E2" w:rsidRPr="007054E2" w:rsidRDefault="007054E2" w:rsidP="007054E2">
      <w:pPr>
        <w:numPr>
          <w:ilvl w:val="0"/>
          <w:numId w:val="7"/>
        </w:numPr>
        <w:spacing w:after="0"/>
      </w:pPr>
      <w:r w:rsidRPr="007054E2">
        <w:t>Educational Program Development</w:t>
      </w:r>
    </w:p>
    <w:p w14:paraId="4CE32CF9" w14:textId="77777777" w:rsidR="007054E2" w:rsidRPr="007054E2" w:rsidRDefault="007054E2" w:rsidP="007054E2">
      <w:pPr>
        <w:numPr>
          <w:ilvl w:val="0"/>
          <w:numId w:val="7"/>
        </w:numPr>
        <w:spacing w:after="0"/>
      </w:pPr>
      <w:r w:rsidRPr="007054E2">
        <w:t>Student Preparation and Success</w:t>
      </w:r>
    </w:p>
    <w:p w14:paraId="42411A02" w14:textId="77777777" w:rsidR="007054E2" w:rsidRPr="007054E2" w:rsidRDefault="007054E2" w:rsidP="007054E2">
      <w:pPr>
        <w:numPr>
          <w:ilvl w:val="0"/>
          <w:numId w:val="7"/>
        </w:numPr>
        <w:spacing w:after="0"/>
      </w:pPr>
      <w:r w:rsidRPr="007054E2">
        <w:t>Governance Structures</w:t>
      </w:r>
    </w:p>
    <w:p w14:paraId="568F987D" w14:textId="77777777" w:rsidR="007054E2" w:rsidRPr="007054E2" w:rsidRDefault="007054E2" w:rsidP="007054E2">
      <w:pPr>
        <w:numPr>
          <w:ilvl w:val="0"/>
          <w:numId w:val="7"/>
        </w:numPr>
        <w:spacing w:after="0"/>
      </w:pPr>
      <w:r w:rsidRPr="007054E2">
        <w:t>Accreditation</w:t>
      </w:r>
    </w:p>
    <w:p w14:paraId="5DD9E47A" w14:textId="77777777" w:rsidR="007054E2" w:rsidRPr="007054E2" w:rsidRDefault="007054E2" w:rsidP="007054E2">
      <w:pPr>
        <w:numPr>
          <w:ilvl w:val="0"/>
          <w:numId w:val="7"/>
        </w:numPr>
        <w:spacing w:after="0"/>
      </w:pPr>
      <w:r w:rsidRPr="007054E2">
        <w:t>Professional Development</w:t>
      </w:r>
    </w:p>
    <w:p w14:paraId="0B1EF9D6" w14:textId="77777777" w:rsidR="007054E2" w:rsidRPr="007054E2" w:rsidRDefault="007054E2" w:rsidP="007054E2">
      <w:pPr>
        <w:numPr>
          <w:ilvl w:val="0"/>
          <w:numId w:val="7"/>
        </w:numPr>
        <w:spacing w:after="0"/>
      </w:pPr>
      <w:r w:rsidRPr="007054E2">
        <w:t>Program Review</w:t>
      </w:r>
    </w:p>
    <w:p w14:paraId="3E632E3B" w14:textId="77777777" w:rsidR="007054E2" w:rsidRPr="007054E2" w:rsidRDefault="007054E2" w:rsidP="007054E2">
      <w:pPr>
        <w:numPr>
          <w:ilvl w:val="0"/>
          <w:numId w:val="7"/>
        </w:numPr>
        <w:spacing w:after="0"/>
      </w:pPr>
      <w:r w:rsidRPr="007054E2">
        <w:t>Institutional Planning and Budget Development</w:t>
      </w:r>
    </w:p>
    <w:p w14:paraId="7DF15CB4" w14:textId="77777777" w:rsidR="007054E2" w:rsidRPr="007054E2" w:rsidRDefault="007054E2" w:rsidP="007054E2">
      <w:pPr>
        <w:numPr>
          <w:ilvl w:val="0"/>
          <w:numId w:val="7"/>
        </w:numPr>
        <w:spacing w:after="0"/>
      </w:pPr>
      <w:r w:rsidRPr="007054E2">
        <w:t>Academic Senate for California Community Colleges</w:t>
      </w:r>
    </w:p>
    <w:p w14:paraId="2F7E6C56" w14:textId="77777777" w:rsidR="007054E2" w:rsidRPr="007054E2" w:rsidRDefault="007054E2" w:rsidP="007054E2">
      <w:pPr>
        <w:numPr>
          <w:ilvl w:val="0"/>
          <w:numId w:val="7"/>
        </w:numPr>
        <w:spacing w:after="0"/>
      </w:pPr>
      <w:r w:rsidRPr="007054E2">
        <w:t>Hiring, Minimum Qualifications, Equivalency, and Evaluations</w:t>
      </w:r>
    </w:p>
    <w:p w14:paraId="200EFE54" w14:textId="77777777" w:rsidR="007054E2" w:rsidRPr="007054E2" w:rsidRDefault="007054E2" w:rsidP="007054E2">
      <w:pPr>
        <w:numPr>
          <w:ilvl w:val="0"/>
          <w:numId w:val="7"/>
        </w:numPr>
        <w:spacing w:after="0"/>
      </w:pPr>
      <w:r w:rsidRPr="007054E2">
        <w:t>Legislation and Advocacy</w:t>
      </w:r>
    </w:p>
    <w:p w14:paraId="7A3FA33F" w14:textId="60671175" w:rsidR="007054E2" w:rsidRPr="007054E2" w:rsidRDefault="007054E2" w:rsidP="007054E2">
      <w:pPr>
        <w:numPr>
          <w:ilvl w:val="0"/>
          <w:numId w:val="7"/>
        </w:numPr>
        <w:spacing w:after="0"/>
      </w:pPr>
      <w:r w:rsidRPr="007054E2">
        <w:t>Consultation with the</w:t>
      </w:r>
      <w:r w:rsidR="002E78A5">
        <w:t xml:space="preserve"> California Community Colleges</w:t>
      </w:r>
      <w:r w:rsidRPr="007054E2">
        <w:t xml:space="preserve"> Chancellor’s Office </w:t>
      </w:r>
    </w:p>
    <w:p w14:paraId="7F8AE836" w14:textId="77777777" w:rsidR="007054E2" w:rsidRPr="00891CFE" w:rsidRDefault="007054E2" w:rsidP="00891CFE"/>
    <w:p w14:paraId="4B077479" w14:textId="77777777" w:rsidR="00891CFE" w:rsidRDefault="00891CFE" w:rsidP="00507BD7">
      <w:pPr>
        <w:rPr>
          <w:rFonts w:asciiTheme="majorHAnsi" w:hAnsiTheme="majorHAnsi" w:cstheme="majorHAnsi"/>
          <w:sz w:val="40"/>
          <w:szCs w:val="40"/>
        </w:rPr>
      </w:pPr>
    </w:p>
    <w:p w14:paraId="7B0CAE4A" w14:textId="77777777" w:rsidR="007119FA" w:rsidRDefault="007119FA" w:rsidP="00507BD7">
      <w:pPr>
        <w:rPr>
          <w:rFonts w:asciiTheme="majorHAnsi" w:hAnsiTheme="majorHAnsi" w:cstheme="majorHAnsi"/>
          <w:sz w:val="40"/>
          <w:szCs w:val="40"/>
        </w:rPr>
      </w:pPr>
    </w:p>
    <w:p w14:paraId="3723DCE8" w14:textId="77777777" w:rsidR="00E30D4D" w:rsidRDefault="00E30D4D" w:rsidP="00E30D4D">
      <w:pPr>
        <w:pStyle w:val="Heading1"/>
        <w:jc w:val="center"/>
      </w:pPr>
      <w:bookmarkStart w:id="6" w:name="_Toc152013009"/>
      <w:bookmarkStart w:id="7" w:name="_Toc165038225"/>
      <w:r>
        <w:lastRenderedPageBreak/>
        <w:t>ADOPTED RESOLUTIONS</w:t>
      </w:r>
      <w:bookmarkEnd w:id="6"/>
      <w:bookmarkEnd w:id="7"/>
    </w:p>
    <w:p w14:paraId="47C26606" w14:textId="77777777" w:rsidR="00AF40E4" w:rsidRDefault="00AF40E4" w:rsidP="00AF40E4"/>
    <w:p w14:paraId="6DE7453B" w14:textId="77777777" w:rsidR="00AF40E4" w:rsidRDefault="00AF40E4" w:rsidP="00AF40E4"/>
    <w:p w14:paraId="09DBE36A" w14:textId="77777777" w:rsidR="00AF40E4" w:rsidRDefault="00AF40E4" w:rsidP="00AF40E4"/>
    <w:p w14:paraId="26695C9F" w14:textId="02C8888F" w:rsidR="001A6DEA" w:rsidRDefault="001A6DEA" w:rsidP="001A6DEA">
      <w:pPr>
        <w:pStyle w:val="Heading1"/>
      </w:pPr>
      <w:bookmarkStart w:id="8" w:name="_Toc162362525"/>
      <w:bookmarkStart w:id="9" w:name="_Toc165038226"/>
      <w:r w:rsidRPr="001A6DEA">
        <w:t>101 C</w:t>
      </w:r>
      <w:bookmarkEnd w:id="8"/>
      <w:r w:rsidR="00173A8C">
        <w:t>URRICULUM</w:t>
      </w:r>
      <w:bookmarkEnd w:id="9"/>
    </w:p>
    <w:p w14:paraId="104C3953" w14:textId="77777777" w:rsidR="00AF40E4" w:rsidRPr="00AF40E4" w:rsidRDefault="00AF40E4" w:rsidP="00AF40E4"/>
    <w:p w14:paraId="03360358" w14:textId="77777777" w:rsidR="008E12EA" w:rsidRPr="00541D2E" w:rsidRDefault="008E12EA" w:rsidP="008E12EA">
      <w:pPr>
        <w:pStyle w:val="Heading2"/>
        <w:spacing w:after="240"/>
        <w:rPr>
          <w:i/>
          <w:iCs/>
          <w:lang w:val="en"/>
        </w:rPr>
      </w:pPr>
      <w:bookmarkStart w:id="10" w:name="_Toc162362526"/>
      <w:bookmarkStart w:id="11" w:name="_Toc165038227"/>
      <w:r w:rsidRPr="001A6DEA">
        <w:rPr>
          <w:lang w:val="en"/>
        </w:rPr>
        <w:t>101.0</w:t>
      </w:r>
      <w:r>
        <w:rPr>
          <w:lang w:val="en"/>
        </w:rPr>
        <w:t>1</w:t>
      </w:r>
      <w:r w:rsidRPr="001A6DEA">
        <w:rPr>
          <w:lang w:val="en"/>
        </w:rPr>
        <w:t xml:space="preserve"> S24 Update the</w:t>
      </w:r>
      <w:r>
        <w:rPr>
          <w:lang w:val="en"/>
        </w:rPr>
        <w:t xml:space="preserve"> 2017</w:t>
      </w:r>
      <w:r w:rsidRPr="001A6DEA">
        <w:rPr>
          <w:lang w:val="en"/>
        </w:rPr>
        <w:t xml:space="preserve"> Paper </w:t>
      </w:r>
      <w:r w:rsidRPr="00541D2E">
        <w:rPr>
          <w:i/>
          <w:iCs/>
          <w:lang w:val="en"/>
        </w:rPr>
        <w:t>The Course Outline of Record: A Curriculum Reference Guide Revisited</w:t>
      </w:r>
      <w:bookmarkEnd w:id="10"/>
      <w:bookmarkEnd w:id="11"/>
    </w:p>
    <w:p w14:paraId="4A2B0B4E" w14:textId="77777777" w:rsidR="008E12EA" w:rsidRPr="001A6DEA" w:rsidRDefault="008E12EA" w:rsidP="008E12EA">
      <w:r w:rsidRPr="001A6DEA">
        <w:t>Whereas, The Academic Senate for California Community Colleges adopted the paper </w:t>
      </w:r>
      <w:r w:rsidRPr="001A6DEA">
        <w:rPr>
          <w:i/>
          <w:iCs/>
        </w:rPr>
        <w:t>The Course Outline of Record: A Curriculum Reference Guide Revisited</w:t>
      </w:r>
      <w:r w:rsidRPr="001A6DEA">
        <w:rPr>
          <w:i/>
          <w:iCs/>
          <w:vertAlign w:val="superscript"/>
        </w:rPr>
        <w:footnoteReference w:id="1"/>
      </w:r>
      <w:r w:rsidRPr="001A6DEA">
        <w:t> in Spring 2017 and has not updated it since;</w:t>
      </w:r>
    </w:p>
    <w:p w14:paraId="705D7BFD" w14:textId="0D4C02B5" w:rsidR="008E12EA" w:rsidRPr="001A6DEA" w:rsidRDefault="008E12EA" w:rsidP="008E12EA">
      <w:r w:rsidRPr="001A6DEA">
        <w:t xml:space="preserve">Whereas, The adoption of California Code of Regulations </w:t>
      </w:r>
      <w:r>
        <w:t>T</w:t>
      </w:r>
      <w:r w:rsidRPr="001A6DEA">
        <w:t>itle 5 sections 51200</w:t>
      </w:r>
      <w:r w:rsidRPr="001A6DEA">
        <w:rPr>
          <w:vertAlign w:val="superscript"/>
        </w:rPr>
        <w:footnoteReference w:id="2"/>
      </w:r>
      <w:r w:rsidRPr="001A6DEA">
        <w:t xml:space="preserve"> and 51201</w:t>
      </w:r>
      <w:r w:rsidRPr="001A6DEA">
        <w:rPr>
          <w:vertAlign w:val="superscript"/>
        </w:rPr>
        <w:footnoteReference w:id="3"/>
      </w:r>
      <w:r w:rsidRPr="001A6DEA">
        <w:t xml:space="preserve"> in 2020 established a commitment by the Board of Governors of the California Community Colleges to ground the educational mission of the California </w:t>
      </w:r>
      <w:r>
        <w:t>c</w:t>
      </w:r>
      <w:r w:rsidRPr="001A6DEA">
        <w:t xml:space="preserve">ommunity </w:t>
      </w:r>
      <w:r>
        <w:t>c</w:t>
      </w:r>
      <w:r w:rsidRPr="001A6DEA">
        <w:t>olleges in the principles of diversity, equity, inclusion, and accessibility (DEIA) in order “to create a safe, inclusive, and anti-racist environment where individual and group differences are valued and leveraged for our growth and understanding as an educational community”;</w:t>
      </w:r>
    </w:p>
    <w:p w14:paraId="4D6A82C9" w14:textId="77777777" w:rsidR="008E12EA" w:rsidRPr="001A6DEA" w:rsidRDefault="008E12EA" w:rsidP="008E12EA">
      <w:r w:rsidRPr="001A6DEA">
        <w:t xml:space="preserve">Whereas, The Academic Senate for California Community Colleges has grounded itself in DEIA and antiracist work through the infusion of inclusion, diversity, equity, antiracism and accessibility in its mission statement, vision statement, goals, and strategic directions; and </w:t>
      </w:r>
    </w:p>
    <w:p w14:paraId="0A2825D3" w14:textId="77777777" w:rsidR="008E12EA" w:rsidRPr="001A6DEA" w:rsidRDefault="008E12EA" w:rsidP="008E12EA">
      <w:r w:rsidRPr="001A6DEA">
        <w:t>Whereas, The Academic Senate for California Community Colleges adopted resolutions 09.01 Fall 2021</w:t>
      </w:r>
      <w:r w:rsidRPr="001A6DEA">
        <w:rPr>
          <w:vertAlign w:val="superscript"/>
        </w:rPr>
        <w:footnoteReference w:id="4"/>
      </w:r>
      <w:r w:rsidRPr="001A6DEA">
        <w:t xml:space="preserve"> and 09.01 Fall 2023</w:t>
      </w:r>
      <w:r w:rsidRPr="001A6DEA">
        <w:rPr>
          <w:vertAlign w:val="superscript"/>
        </w:rPr>
        <w:footnoteReference w:id="5"/>
      </w:r>
      <w:r w:rsidRPr="001A6DEA">
        <w:t xml:space="preserve"> in support of requiring the incorporation of DEIA principles and practices into course outlines of record;</w:t>
      </w:r>
    </w:p>
    <w:p w14:paraId="413FCA19" w14:textId="77777777" w:rsidR="008E12EA" w:rsidRPr="001A6DEA" w:rsidRDefault="008E12EA" w:rsidP="008E12EA">
      <w:r w:rsidRPr="001A6DEA">
        <w:t>Resolved, That the Academic Senate for California Community Colleges update the paper </w:t>
      </w:r>
      <w:r w:rsidRPr="001A6DEA">
        <w:rPr>
          <w:i/>
          <w:iCs/>
        </w:rPr>
        <w:t>The Course Outline of Record: A Curriculum Reference Guide</w:t>
      </w:r>
      <w:r w:rsidRPr="001A6DEA">
        <w:t> </w:t>
      </w:r>
      <w:r w:rsidRPr="001A6DEA">
        <w:rPr>
          <w:i/>
          <w:iCs/>
        </w:rPr>
        <w:t>Revisited</w:t>
      </w:r>
      <w:r w:rsidRPr="001A6DEA">
        <w:rPr>
          <w:i/>
          <w:iCs/>
          <w:vertAlign w:val="superscript"/>
        </w:rPr>
        <w:footnoteReference w:id="6"/>
      </w:r>
      <w:r w:rsidRPr="001A6DEA">
        <w:t xml:space="preserve"> to reflect the shift to infuse </w:t>
      </w:r>
      <w:r w:rsidRPr="001A6DEA">
        <w:lastRenderedPageBreak/>
        <w:t>diversity, equity, inclusion, accessibility, and antiracism in curricular matters and present it for adoption at the Fall 2025 Plenary Session.</w:t>
      </w:r>
    </w:p>
    <w:p w14:paraId="4738EEA2" w14:textId="77777777" w:rsidR="008E12EA" w:rsidRPr="001A6DEA" w:rsidRDefault="008E12EA" w:rsidP="008E12EA">
      <w:r w:rsidRPr="001A6DEA">
        <w:t>Contact: Robert L</w:t>
      </w:r>
      <w:r>
        <w:t>.</w:t>
      </w:r>
      <w:r w:rsidRPr="001A6DEA">
        <w:t xml:space="preserve"> Stewart Jr</w:t>
      </w:r>
      <w:r>
        <w:t>.</w:t>
      </w:r>
      <w:r w:rsidRPr="001A6DEA">
        <w:t>, ASCCC Executive Committee, ASCCC Curriculum Committee</w:t>
      </w:r>
    </w:p>
    <w:p w14:paraId="6E27969D" w14:textId="77777777" w:rsidR="008E12EA" w:rsidRDefault="008E12EA" w:rsidP="008E12EA">
      <w:r>
        <w:t>MSU</w:t>
      </w:r>
    </w:p>
    <w:p w14:paraId="004B16C5" w14:textId="77777777" w:rsidR="008E12EA" w:rsidRPr="00C643D1" w:rsidRDefault="008E12EA" w:rsidP="00C643D1"/>
    <w:p w14:paraId="55F071B9" w14:textId="0B7226F2" w:rsidR="00B75CAF" w:rsidRPr="001A6DEA" w:rsidRDefault="00B75CAF" w:rsidP="00FC653A">
      <w:pPr>
        <w:pStyle w:val="Heading2"/>
        <w:spacing w:after="240"/>
        <w:rPr>
          <w:lang w:val="en"/>
        </w:rPr>
      </w:pPr>
      <w:bookmarkStart w:id="12" w:name="_Toc162362537"/>
      <w:bookmarkStart w:id="13" w:name="_Toc165038228"/>
      <w:r w:rsidRPr="001A6DEA">
        <w:rPr>
          <w:lang w:val="en"/>
        </w:rPr>
        <w:t>101.0</w:t>
      </w:r>
      <w:r w:rsidR="008E12EA">
        <w:rPr>
          <w:lang w:val="en"/>
        </w:rPr>
        <w:t>2</w:t>
      </w:r>
      <w:r w:rsidRPr="001A6DEA">
        <w:rPr>
          <w:lang w:val="en"/>
        </w:rPr>
        <w:t xml:space="preserve"> S24 Update the 2019 Paper </w:t>
      </w:r>
      <w:r w:rsidRPr="00D5439C">
        <w:rPr>
          <w:i/>
          <w:iCs/>
          <w:lang w:val="en"/>
        </w:rPr>
        <w:t>Work Based Learning in California Community Colleges</w:t>
      </w:r>
      <w:bookmarkEnd w:id="12"/>
      <w:bookmarkEnd w:id="13"/>
    </w:p>
    <w:p w14:paraId="0447A73E" w14:textId="387B8F20" w:rsidR="00B75CAF" w:rsidRPr="001A6DEA" w:rsidRDefault="00B75CAF" w:rsidP="00B75CAF">
      <w:r w:rsidRPr="001A6DEA">
        <w:t>Whereas, The Academic Senate for California Community Colleges adopted the paper </w:t>
      </w:r>
      <w:r w:rsidRPr="001A6DEA">
        <w:rPr>
          <w:i/>
          <w:iCs/>
        </w:rPr>
        <w:t>Work Based Learning in California Community Colleges</w:t>
      </w:r>
      <w:r w:rsidR="000A750A">
        <w:rPr>
          <w:rStyle w:val="FootnoteReference"/>
          <w:i/>
          <w:iCs/>
        </w:rPr>
        <w:footnoteReference w:id="7"/>
      </w:r>
      <w:r w:rsidRPr="001A6DEA">
        <w:t xml:space="preserve"> in Spring 2019 and has not updated it since; </w:t>
      </w:r>
    </w:p>
    <w:p w14:paraId="4BE7B19E" w14:textId="1DED36F7" w:rsidR="00B75CAF" w:rsidRPr="001A6DEA" w:rsidRDefault="00B75CAF" w:rsidP="00B75CAF">
      <w:r w:rsidRPr="001A6DEA">
        <w:t>Whereas, The Academic Senate for California Community Colleges’ 2019 paper </w:t>
      </w:r>
      <w:r w:rsidRPr="001A6DEA">
        <w:rPr>
          <w:i/>
          <w:iCs/>
        </w:rPr>
        <w:t>Work Based Learning in California Community Colleges</w:t>
      </w:r>
      <w:r w:rsidRPr="001A6DEA">
        <w:t xml:space="preserve"> recommended updates to </w:t>
      </w:r>
      <w:r w:rsidR="00A950BF">
        <w:t>T</w:t>
      </w:r>
      <w:r w:rsidRPr="001A6DEA">
        <w:t>itle 5 and the inclusion of noncredit options for work experience education; and</w:t>
      </w:r>
    </w:p>
    <w:p w14:paraId="1295C7CD" w14:textId="5DCB912E" w:rsidR="00B75CAF" w:rsidRPr="001A6DEA" w:rsidRDefault="00B75CAF" w:rsidP="00B75CAF">
      <w:r w:rsidRPr="001A6DEA">
        <w:t xml:space="preserve">Whereas, The Board of Governors of the California Community Colleges recently adopted long awaited and extensive changes to several California Code of Regulations </w:t>
      </w:r>
      <w:r w:rsidR="00A950BF">
        <w:t>T</w:t>
      </w:r>
      <w:r w:rsidRPr="001A6DEA">
        <w:t>itle 5 sections regarding work experience education that are summarized in a California Community Colleges Chancellor’s Office document</w:t>
      </w:r>
      <w:r w:rsidRPr="001A6DEA">
        <w:rPr>
          <w:vertAlign w:val="superscript"/>
        </w:rPr>
        <w:footnoteReference w:id="8"/>
      </w:r>
      <w:r w:rsidRPr="001A6DEA">
        <w:t xml:space="preserve"> around these updates;</w:t>
      </w:r>
    </w:p>
    <w:p w14:paraId="171ECF4E" w14:textId="550BABCB" w:rsidR="00B75CAF" w:rsidRPr="001A6DEA" w:rsidRDefault="00B75CAF" w:rsidP="00B75CAF">
      <w:r w:rsidRPr="001A6DEA">
        <w:t>Resolved, That the Academic Senate for California Community Colleges update the paper </w:t>
      </w:r>
      <w:r w:rsidRPr="001A6DEA">
        <w:rPr>
          <w:i/>
          <w:iCs/>
        </w:rPr>
        <w:t>Work Based Learning in California Community Colleges</w:t>
      </w:r>
      <w:r w:rsidR="000A750A">
        <w:rPr>
          <w:rStyle w:val="FootnoteReference"/>
          <w:i/>
          <w:iCs/>
        </w:rPr>
        <w:footnoteReference w:id="9"/>
      </w:r>
      <w:r w:rsidRPr="001A6DEA">
        <w:t> to reflect the recent updates to the California Code of Regulations by the Fall 2025 Plenary Session.</w:t>
      </w:r>
    </w:p>
    <w:p w14:paraId="14038FEC" w14:textId="0072AB72" w:rsidR="00B75CAF" w:rsidRDefault="00B75CAF" w:rsidP="00B75CAF">
      <w:r w:rsidRPr="001A6DEA">
        <w:t>Contact: Robert L</w:t>
      </w:r>
      <w:r w:rsidR="00610C14">
        <w:t>.</w:t>
      </w:r>
      <w:r w:rsidRPr="001A6DEA">
        <w:t xml:space="preserve"> Stewart Jr</w:t>
      </w:r>
      <w:r w:rsidR="00610C14">
        <w:t>.</w:t>
      </w:r>
      <w:r w:rsidRPr="001A6DEA">
        <w:t>, ASCCC Executive Committee, Area C</w:t>
      </w:r>
    </w:p>
    <w:p w14:paraId="4FF7B91E" w14:textId="3349A2CC" w:rsidR="000404C4" w:rsidRDefault="000404C4" w:rsidP="00B75CAF">
      <w:r>
        <w:t>MSU</w:t>
      </w:r>
    </w:p>
    <w:p w14:paraId="2421614B" w14:textId="77777777" w:rsidR="004761F2" w:rsidRPr="00B75CAF" w:rsidRDefault="004761F2" w:rsidP="004761F2">
      <w:pPr>
        <w:rPr>
          <w:lang w:val="en"/>
        </w:rPr>
      </w:pPr>
      <w:bookmarkStart w:id="14" w:name="_Toc162362540"/>
    </w:p>
    <w:p w14:paraId="67B50721" w14:textId="72C757CD" w:rsidR="00B75CAF" w:rsidRPr="001A6DEA" w:rsidRDefault="00B75CAF" w:rsidP="00FC653A">
      <w:pPr>
        <w:pStyle w:val="Heading2"/>
        <w:spacing w:after="240"/>
        <w:rPr>
          <w:lang w:val="en"/>
        </w:rPr>
      </w:pPr>
      <w:bookmarkStart w:id="15" w:name="_Toc165038229"/>
      <w:r w:rsidRPr="001A6DEA">
        <w:rPr>
          <w:lang w:val="en"/>
        </w:rPr>
        <w:t>101.03 S24 Developing an ASCCC-Annotated Version of Program and Course Approval Handbook (PCAH)</w:t>
      </w:r>
      <w:bookmarkEnd w:id="14"/>
      <w:bookmarkEnd w:id="15"/>
      <w:r w:rsidRPr="001A6DEA">
        <w:rPr>
          <w:lang w:val="en"/>
        </w:rPr>
        <w:t xml:space="preserve"> </w:t>
      </w:r>
    </w:p>
    <w:p w14:paraId="26DF783F" w14:textId="54B6AB3C" w:rsidR="00B75CAF" w:rsidRPr="001A6DEA" w:rsidRDefault="00B75CAF" w:rsidP="00B75CAF">
      <w:pPr>
        <w:rPr>
          <w:lang w:val="en"/>
        </w:rPr>
      </w:pPr>
      <w:r w:rsidRPr="001A6DEA">
        <w:rPr>
          <w:lang w:val="en"/>
        </w:rPr>
        <w:t xml:space="preserve">Whereas, California Education Code </w:t>
      </w:r>
      <w:r w:rsidR="00B23790">
        <w:rPr>
          <w:rFonts w:cstheme="minorHAnsi"/>
          <w:lang w:val="en"/>
        </w:rPr>
        <w:t>§</w:t>
      </w:r>
      <w:r w:rsidRPr="001A6DEA">
        <w:rPr>
          <w:lang w:val="en"/>
        </w:rPr>
        <w:t>66010.2</w:t>
      </w:r>
      <w:r w:rsidRPr="001A6DEA">
        <w:rPr>
          <w:vertAlign w:val="superscript"/>
          <w:lang w:val="en"/>
        </w:rPr>
        <w:footnoteReference w:id="10"/>
      </w:r>
      <w:r w:rsidRPr="001A6DEA">
        <w:rPr>
          <w:lang w:val="en"/>
        </w:rPr>
        <w:t xml:space="preserve"> states “The public elementary and secondary schools, the California Community Colleges, the California State University, the University of California, and independent institutions of higher education share goals designed to provide </w:t>
      </w:r>
      <w:r w:rsidRPr="001A6DEA">
        <w:rPr>
          <w:lang w:val="en"/>
        </w:rPr>
        <w:lastRenderedPageBreak/>
        <w:t>educational opportunity and success to the broadest possible range of our citizens, and shall provide the following:</w:t>
      </w:r>
    </w:p>
    <w:p w14:paraId="6614DB02" w14:textId="77777777" w:rsidR="00B75CAF" w:rsidRPr="001A6DEA" w:rsidRDefault="00B75CAF" w:rsidP="00B75CAF">
      <w:pPr>
        <w:numPr>
          <w:ilvl w:val="0"/>
          <w:numId w:val="10"/>
        </w:numPr>
        <w:rPr>
          <w:lang w:val="en"/>
        </w:rPr>
      </w:pPr>
      <w:r w:rsidRPr="001A6DEA">
        <w:rPr>
          <w:lang w:val="en"/>
        </w:rPr>
        <w:t>Access to education, and the opportunity for educational success, for all qualified Californians. Particular efforts should be made with regard to those who are historically and currently underrepresented in both their graduation rates from secondary institutions and in their attendance at California higher educational institutions.</w:t>
      </w:r>
    </w:p>
    <w:p w14:paraId="4922B890" w14:textId="77777777" w:rsidR="00B75CAF" w:rsidRPr="001A6DEA" w:rsidRDefault="00B75CAF" w:rsidP="00B75CAF">
      <w:pPr>
        <w:numPr>
          <w:ilvl w:val="0"/>
          <w:numId w:val="10"/>
        </w:numPr>
        <w:rPr>
          <w:lang w:val="en"/>
        </w:rPr>
      </w:pPr>
      <w:r w:rsidRPr="001A6DEA">
        <w:rPr>
          <w:lang w:val="en"/>
        </w:rPr>
        <w:t>Quality teaching and programs of excellence for their students. This commitment to academic excellence shall provide all students the opportunity to address issues, including ethical issues, that are central to their full development as responsible citizens.</w:t>
      </w:r>
    </w:p>
    <w:p w14:paraId="540F482C" w14:textId="77777777" w:rsidR="00B75CAF" w:rsidRPr="001A6DEA" w:rsidRDefault="00B75CAF" w:rsidP="00B75CAF">
      <w:pPr>
        <w:numPr>
          <w:ilvl w:val="0"/>
          <w:numId w:val="10"/>
        </w:numPr>
        <w:rPr>
          <w:lang w:val="en"/>
        </w:rPr>
      </w:pPr>
      <w:r w:rsidRPr="001A6DEA">
        <w:rPr>
          <w:lang w:val="en"/>
        </w:rPr>
        <w:t>Educational equity not only through a diverse and representative student body and faculty but also through educational environments in which each person, regardless of race, gender, gender identity, gender expression, sexual orientation, age, disability, or economic circumstances, has a reasonable chance to fully develop his or her potential.”;</w:t>
      </w:r>
    </w:p>
    <w:p w14:paraId="6950B459" w14:textId="7ED3D70A" w:rsidR="00B75CAF" w:rsidRPr="001A6DEA" w:rsidRDefault="00B75CAF" w:rsidP="00B75CAF">
      <w:pPr>
        <w:rPr>
          <w:lang w:val="en"/>
        </w:rPr>
      </w:pPr>
      <w:r w:rsidRPr="001A6DEA">
        <w:rPr>
          <w:lang w:val="en"/>
        </w:rPr>
        <w:t>Whereas, The Academic Senate for California Community Colleges' commitment to inclusion, diversity, equity, anti-racism, and accessibility has been affirmed in the following resolutions: 07.02 S23 Ensuring Anti-racist California Community College Online Faculty Training Materials</w:t>
      </w:r>
      <w:r w:rsidRPr="001A6DEA">
        <w:rPr>
          <w:vertAlign w:val="superscript"/>
          <w:lang w:val="en"/>
        </w:rPr>
        <w:footnoteReference w:id="11"/>
      </w:r>
      <w:r w:rsidRPr="001A6DEA">
        <w:rPr>
          <w:lang w:val="en"/>
        </w:rPr>
        <w:t>, 13.04 S23 Resolution in Support of Academic Freedom/Solidarity with Faculty Across the Nation</w:t>
      </w:r>
      <w:r w:rsidRPr="001A6DEA">
        <w:rPr>
          <w:vertAlign w:val="superscript"/>
          <w:lang w:val="en"/>
        </w:rPr>
        <w:footnoteReference w:id="12"/>
      </w:r>
      <w:r w:rsidRPr="001A6DEA">
        <w:rPr>
          <w:lang w:val="en"/>
        </w:rPr>
        <w:t>, 01.01 F22 Adopt the Academic Senate for California Community Colleges Mission, Vision, and Values Statements that Include Anti-Racism</w:t>
      </w:r>
      <w:r w:rsidRPr="001A6DEA">
        <w:rPr>
          <w:vertAlign w:val="superscript"/>
          <w:lang w:val="en"/>
        </w:rPr>
        <w:footnoteReference w:id="13"/>
      </w:r>
      <w:r w:rsidRPr="001A6DEA">
        <w:rPr>
          <w:lang w:val="en"/>
        </w:rPr>
        <w:t>, 03.01 F22 Advancing IDEAA in Guided Pathways</w:t>
      </w:r>
      <w:r w:rsidRPr="001A6DEA">
        <w:rPr>
          <w:vertAlign w:val="superscript"/>
          <w:lang w:val="en"/>
        </w:rPr>
        <w:footnoteReference w:id="14"/>
      </w:r>
      <w:r w:rsidRPr="001A6DEA">
        <w:rPr>
          <w:lang w:val="en"/>
        </w:rPr>
        <w:t>, 07.05 F22 Incorporating Inclusion, Diversity, Equity, Anti-racism, and Accessibility (IDEAA) Principles Explicitly into Title 5, §53200</w:t>
      </w:r>
      <w:r w:rsidRPr="001A6DEA">
        <w:rPr>
          <w:vertAlign w:val="superscript"/>
          <w:lang w:val="en"/>
        </w:rPr>
        <w:footnoteReference w:id="15"/>
      </w:r>
      <w:r w:rsidRPr="001A6DEA">
        <w:rPr>
          <w:lang w:val="en"/>
        </w:rPr>
        <w:t>, 01.02 S22 Adding Anti-Racism to the Academic Senate for California Community Colleges’ Vision Statement</w:t>
      </w:r>
      <w:r w:rsidRPr="001A6DEA">
        <w:rPr>
          <w:vertAlign w:val="superscript"/>
          <w:lang w:val="en"/>
        </w:rPr>
        <w:footnoteReference w:id="16"/>
      </w:r>
      <w:r w:rsidRPr="001A6DEA">
        <w:rPr>
          <w:lang w:val="en"/>
        </w:rPr>
        <w:t>, 03.01 S22 Develop and Publish an Inclusion, Diversity, Equity, Anti-Racism, and Accessibility (IDEAA) Liaison Handbook</w:t>
      </w:r>
      <w:r w:rsidRPr="001A6DEA">
        <w:rPr>
          <w:vertAlign w:val="superscript"/>
          <w:lang w:val="en"/>
        </w:rPr>
        <w:footnoteReference w:id="17"/>
      </w:r>
      <w:r w:rsidRPr="001A6DEA">
        <w:rPr>
          <w:lang w:val="en"/>
        </w:rPr>
        <w:t>, 03.02 S22 Adopt the DEI in Curriculum Model Principles and Practices Framework</w:t>
      </w:r>
      <w:r w:rsidRPr="001A6DEA">
        <w:rPr>
          <w:vertAlign w:val="superscript"/>
          <w:lang w:val="en"/>
        </w:rPr>
        <w:footnoteReference w:id="18"/>
      </w:r>
      <w:r w:rsidRPr="001A6DEA">
        <w:rPr>
          <w:lang w:val="en"/>
        </w:rPr>
        <w:t>, 19.01 S22 Cultural Humility Driving Inclusion, Diversity, Equity, Anti-Racism, and Accessibility (IDEAA) Work</w:t>
      </w:r>
      <w:r w:rsidRPr="001A6DEA">
        <w:rPr>
          <w:vertAlign w:val="superscript"/>
          <w:lang w:val="en"/>
        </w:rPr>
        <w:footnoteReference w:id="19"/>
      </w:r>
      <w:r w:rsidRPr="001A6DEA">
        <w:rPr>
          <w:lang w:val="en"/>
        </w:rPr>
        <w:t>, 03.02 S21 Establishing Local Inclusion, Diversity, Equity, and Anti-racism (IDEA) Liaison</w:t>
      </w:r>
      <w:r w:rsidRPr="001A6DEA">
        <w:rPr>
          <w:vertAlign w:val="superscript"/>
          <w:lang w:val="en"/>
        </w:rPr>
        <w:footnoteReference w:id="20"/>
      </w:r>
      <w:r w:rsidRPr="001A6DEA">
        <w:rPr>
          <w:lang w:val="en"/>
        </w:rPr>
        <w:t>;</w:t>
      </w:r>
    </w:p>
    <w:p w14:paraId="5823978B" w14:textId="0B2316A0" w:rsidR="00B75CAF" w:rsidRPr="001A6DEA" w:rsidRDefault="00B75CAF" w:rsidP="00B75CAF">
      <w:pPr>
        <w:rPr>
          <w:lang w:val="en"/>
        </w:rPr>
      </w:pPr>
      <w:r w:rsidRPr="001A6DEA">
        <w:rPr>
          <w:lang w:val="en"/>
        </w:rPr>
        <w:lastRenderedPageBreak/>
        <w:t xml:space="preserve">Whereas, The California Community Colleges Chancellor’s Office is directed by California Code of Regulations </w:t>
      </w:r>
      <w:r w:rsidR="00A950BF">
        <w:rPr>
          <w:lang w:val="en"/>
        </w:rPr>
        <w:t>T</w:t>
      </w:r>
      <w:r w:rsidRPr="001A6DEA">
        <w:rPr>
          <w:lang w:val="en"/>
        </w:rPr>
        <w:t>itle 5 §55000.5</w:t>
      </w:r>
      <w:r w:rsidRPr="001A6DEA">
        <w:rPr>
          <w:vertAlign w:val="superscript"/>
          <w:lang w:val="en"/>
        </w:rPr>
        <w:footnoteReference w:id="21"/>
      </w:r>
      <w:r w:rsidRPr="001A6DEA">
        <w:rPr>
          <w:lang w:val="en"/>
        </w:rPr>
        <w:t xml:space="preserve"> to produce a handbook for program and course approval, known as the Program and Course Approval Handbook, currently in its 8th edition, and does not include guidance on integrating inclusion, diversity, equity, anti-racism, and accessibility (IDEAA) into specific elements such as credit and noncredit course and program development criteria, and the course outline of record; and</w:t>
      </w:r>
    </w:p>
    <w:p w14:paraId="687987D6" w14:textId="5AA9475F" w:rsidR="00B75CAF" w:rsidRPr="001A6DEA" w:rsidRDefault="00B75CAF" w:rsidP="00B75CAF">
      <w:pPr>
        <w:rPr>
          <w:lang w:val="en"/>
        </w:rPr>
      </w:pPr>
      <w:r w:rsidRPr="001A6DEA">
        <w:rPr>
          <w:lang w:val="en"/>
        </w:rPr>
        <w:t>Whereas, For California community college faculty, authority over the curriculum is codified in California Education Code section 70902(b)(7)</w:t>
      </w:r>
      <w:r w:rsidRPr="001A6DEA">
        <w:rPr>
          <w:vertAlign w:val="superscript"/>
          <w:lang w:val="en"/>
        </w:rPr>
        <w:footnoteReference w:id="22"/>
      </w:r>
      <w:r w:rsidRPr="001A6DEA">
        <w:rPr>
          <w:lang w:val="en"/>
        </w:rPr>
        <w:t xml:space="preserve"> stating that the governing board of each district shall establish procedures “to </w:t>
      </w:r>
      <w:r w:rsidRPr="001A6DEA">
        <w:t>ensure faculty, staff, and students the opportunity to express their opinions at the campus level, to ensure that these opinions are given every reasonable consideration, to ensure the right to participate effectively in district and college governance, and to ensure the right of academic senates to assume primary responsibility for making recommendations in the areas of curriculum and academic standards.</w:t>
      </w:r>
      <w:r w:rsidRPr="001A6DEA">
        <w:rPr>
          <w:lang w:val="en"/>
        </w:rPr>
        <w:t xml:space="preserve">” and California Code of Regulations </w:t>
      </w:r>
      <w:r w:rsidR="00A950BF">
        <w:rPr>
          <w:lang w:val="en"/>
        </w:rPr>
        <w:t>T</w:t>
      </w:r>
      <w:r w:rsidRPr="001A6DEA">
        <w:rPr>
          <w:lang w:val="en"/>
        </w:rPr>
        <w:t>itle 5 §53200</w:t>
      </w:r>
      <w:r w:rsidRPr="001A6DEA">
        <w:rPr>
          <w:vertAlign w:val="superscript"/>
          <w:lang w:val="en"/>
        </w:rPr>
        <w:footnoteReference w:id="23"/>
      </w:r>
      <w:r w:rsidRPr="001A6DEA">
        <w:rPr>
          <w:lang w:val="en"/>
        </w:rPr>
        <w:t xml:space="preserve"> states the faculty authority for curriculum where the academic senate and its purview are defined;</w:t>
      </w:r>
    </w:p>
    <w:p w14:paraId="195CFC81" w14:textId="77777777" w:rsidR="00B75CAF" w:rsidRPr="001A6DEA" w:rsidRDefault="00B75CAF" w:rsidP="00B75CAF">
      <w:pPr>
        <w:rPr>
          <w:lang w:val="en"/>
        </w:rPr>
      </w:pPr>
      <w:r w:rsidRPr="001A6DEA">
        <w:rPr>
          <w:lang w:val="en"/>
        </w:rPr>
        <w:t xml:space="preserve">Resolved, That the Academic Senate for California Community Colleges (ASCCC) develop an ASCCC-annotated version of the Program and Course Approval Handbook (PCAH) providing guidance for integrating inclusion, diversity, equity, anti-racism, and accessibility (IDEAA) into courses, programs, and processes for curriculum review and approval, with specific annotations to occur in commonly referenced portions of the PCAH and including links and references to IDEAA resources such as the </w:t>
      </w:r>
      <w:r w:rsidRPr="001A6DEA">
        <w:rPr>
          <w:i/>
          <w:lang w:val="en"/>
        </w:rPr>
        <w:t>DEI in Curriculum: Model Principles and Practices</w:t>
      </w:r>
      <w:r w:rsidRPr="001A6DEA">
        <w:rPr>
          <w:i/>
          <w:vertAlign w:val="superscript"/>
          <w:lang w:val="en"/>
        </w:rPr>
        <w:footnoteReference w:id="24"/>
      </w:r>
      <w:r w:rsidRPr="001A6DEA">
        <w:rPr>
          <w:lang w:val="en"/>
        </w:rPr>
        <w:t xml:space="preserve"> and the </w:t>
      </w:r>
      <w:r w:rsidRPr="001A6DEA">
        <w:rPr>
          <w:i/>
          <w:lang w:val="en"/>
        </w:rPr>
        <w:t>DEI in Praxis: Models for Culturally Responsive Curriculum</w:t>
      </w:r>
      <w:r w:rsidRPr="001A6DEA">
        <w:rPr>
          <w:i/>
          <w:vertAlign w:val="superscript"/>
          <w:lang w:val="en"/>
        </w:rPr>
        <w:footnoteReference w:id="25"/>
      </w:r>
      <w:r w:rsidRPr="001A6DEA">
        <w:rPr>
          <w:lang w:val="en"/>
        </w:rPr>
        <w:t xml:space="preserve"> resources currently on the ASCCC website under “IDEAA Tools and Resources,” by Fall 2025 and disseminate widely.</w:t>
      </w:r>
    </w:p>
    <w:p w14:paraId="1F4F9996" w14:textId="77777777" w:rsidR="00B75CAF" w:rsidRPr="001A6DEA" w:rsidRDefault="00B75CAF" w:rsidP="00B75CAF">
      <w:pPr>
        <w:rPr>
          <w:lang w:val="en"/>
        </w:rPr>
      </w:pPr>
      <w:r w:rsidRPr="001A6DEA">
        <w:rPr>
          <w:lang w:val="en"/>
        </w:rPr>
        <w:t>Contact: Erik Woodbury, De Anza College, Area B</w:t>
      </w:r>
    </w:p>
    <w:p w14:paraId="551C1AC8" w14:textId="77777777" w:rsidR="00D05553" w:rsidRDefault="00D05553" w:rsidP="00D05553">
      <w:r>
        <w:t>MSU</w:t>
      </w:r>
    </w:p>
    <w:p w14:paraId="16D4A800" w14:textId="77777777" w:rsidR="00FE1A65" w:rsidRDefault="00FE1A65" w:rsidP="001A6DEA"/>
    <w:p w14:paraId="5A641D11" w14:textId="77777777" w:rsidR="00393F96" w:rsidRDefault="00393F96" w:rsidP="001A6DEA"/>
    <w:p w14:paraId="4011E400" w14:textId="77777777" w:rsidR="00393F96" w:rsidRDefault="00393F96" w:rsidP="001A6DEA"/>
    <w:p w14:paraId="522F471A" w14:textId="77777777" w:rsidR="000A65B8" w:rsidRDefault="000A65B8" w:rsidP="000A65B8">
      <w:pPr>
        <w:pStyle w:val="Heading1"/>
      </w:pPr>
      <w:bookmarkStart w:id="16" w:name="_Toc162362548"/>
      <w:bookmarkStart w:id="17" w:name="_Toc165038230"/>
      <w:r w:rsidRPr="001A6DEA">
        <w:lastRenderedPageBreak/>
        <w:t xml:space="preserve">102 </w:t>
      </w:r>
      <w:r>
        <w:t>DEGREE AND CERTIFICATE REQUIREMENTS</w:t>
      </w:r>
      <w:bookmarkEnd w:id="16"/>
      <w:bookmarkEnd w:id="17"/>
    </w:p>
    <w:p w14:paraId="38111AAD" w14:textId="77777777" w:rsidR="00AB57B2" w:rsidRPr="001A6DEA" w:rsidRDefault="00AB57B2" w:rsidP="00AB57B2"/>
    <w:p w14:paraId="03392C54" w14:textId="61F3834A" w:rsidR="00AB57B2" w:rsidRPr="001A6DEA" w:rsidRDefault="00AB57B2" w:rsidP="00FC653A">
      <w:pPr>
        <w:pStyle w:val="Heading2"/>
        <w:spacing w:after="240"/>
        <w:rPr>
          <w:lang w:val="en"/>
        </w:rPr>
      </w:pPr>
      <w:bookmarkStart w:id="18" w:name="_Toc162362538"/>
      <w:bookmarkStart w:id="19" w:name="_Toc165038231"/>
      <w:r w:rsidRPr="001A6DEA">
        <w:rPr>
          <w:lang w:val="en"/>
        </w:rPr>
        <w:t>102.01 S24 Cal-GETC, Catalog Rights, and Oral Communication Courses</w:t>
      </w:r>
      <w:bookmarkEnd w:id="18"/>
      <w:bookmarkEnd w:id="19"/>
    </w:p>
    <w:p w14:paraId="43663EF3" w14:textId="2D196797" w:rsidR="00AB57B2" w:rsidRPr="001A6DEA" w:rsidRDefault="00AB57B2" w:rsidP="00AB57B2">
      <w:r w:rsidRPr="001A6DEA">
        <w:t xml:space="preserve">Whereas, The new California General Education Transfer Curriculum Area 1C Oral Communication, with new standards, will become effective the beginning of Fall 2025; </w:t>
      </w:r>
    </w:p>
    <w:p w14:paraId="4489BF1B" w14:textId="77777777" w:rsidR="00AB57B2" w:rsidRPr="001A6DEA" w:rsidRDefault="00AB57B2" w:rsidP="00AB57B2">
      <w:r w:rsidRPr="001A6DEA">
        <w:t>Whereas, The “Cal-GETC Administrative Implementation Guidance” memo</w:t>
      </w:r>
      <w:r w:rsidRPr="001A6DEA">
        <w:rPr>
          <w:vertAlign w:val="superscript"/>
        </w:rPr>
        <w:footnoteReference w:id="26"/>
      </w:r>
      <w:r w:rsidRPr="001A6DEA">
        <w:t xml:space="preserve"> dated February 14, 2024 provides catalog rights guidance (Appendix A) regarding when students will be expected to complete the California General Education Transfer Curriculum pattern;</w:t>
      </w:r>
    </w:p>
    <w:p w14:paraId="73753C95" w14:textId="77777777" w:rsidR="00AB57B2" w:rsidRPr="001A6DEA" w:rsidRDefault="00AB57B2" w:rsidP="00AB57B2">
      <w:r w:rsidRPr="001A6DEA">
        <w:t>Whereas, Appendix A of the “Cal-GETC Administrative Implementation Guidance” memo states that if a student has continuous enrollment prior to the fall of 2025, students will not require California General Education Transfer Curriculum (Cal-GETC) certification, but for those students who lose catalog rights, they will be held to Cal-GETC certification; and</w:t>
      </w:r>
    </w:p>
    <w:p w14:paraId="73A20ECC" w14:textId="77777777" w:rsidR="00AB57B2" w:rsidRPr="001A6DEA" w:rsidRDefault="00AB57B2" w:rsidP="00AB57B2">
      <w:r w:rsidRPr="001A6DEA">
        <w:t>Whereas, If a student with prior continuous enrollment who completes a course approved for the California State University General Education Breadth Area A1 Oral Communication or Intersegmental General Education Transfer Curriculum Area 1C Oral Communication prior to Fall 2025 and loses catalog rights may now be expected to complete another oral communication course approved for the California General Education Transfer Curriculum Area 1C;</w:t>
      </w:r>
    </w:p>
    <w:p w14:paraId="2B1E8CE4" w14:textId="08DD718F" w:rsidR="00AB57B2" w:rsidRPr="001A6DEA" w:rsidRDefault="00AB57B2" w:rsidP="00AB57B2">
      <w:r w:rsidRPr="001A6DEA">
        <w:t xml:space="preserve">Resolved, That the Academic Senate for California Community Colleges work with </w:t>
      </w:r>
      <w:r w:rsidR="00E708F8">
        <w:t>the Intersegmental Committee of the Academic Senates</w:t>
      </w:r>
      <w:r w:rsidR="00956F07">
        <w:t xml:space="preserve"> </w:t>
      </w:r>
      <w:r w:rsidRPr="001A6DEA">
        <w:t xml:space="preserve">to </w:t>
      </w:r>
      <w:r w:rsidR="00DF5AE0">
        <w:t>advocate for</w:t>
      </w:r>
      <w:r w:rsidRPr="001A6DEA">
        <w:t xml:space="preserve"> oral communication courses completed prior to Fall 2025 that meet the Intersegmental General Education Transfer Curriculum Area 1C be</w:t>
      </w:r>
      <w:r w:rsidR="00147400">
        <w:t>ing</w:t>
      </w:r>
      <w:r w:rsidRPr="001A6DEA">
        <w:t xml:space="preserve"> honored for the purposes of the California General Education Transfer Curriculum certification regardless of a student’s catalog rights. </w:t>
      </w:r>
    </w:p>
    <w:p w14:paraId="4E0FC624" w14:textId="77777777" w:rsidR="00AB57B2" w:rsidRPr="001A6DEA" w:rsidRDefault="00AB57B2" w:rsidP="00AB57B2">
      <w:r w:rsidRPr="001A6DEA">
        <w:t>Contact: Mark Edward Osea, Mendocino College, Area B</w:t>
      </w:r>
    </w:p>
    <w:p w14:paraId="1DF41688" w14:textId="2B98C8EF" w:rsidR="00AB57B2" w:rsidRDefault="00393F96" w:rsidP="00AB57B2">
      <w:r>
        <w:t>MSU</w:t>
      </w:r>
    </w:p>
    <w:p w14:paraId="72C43FE7" w14:textId="77777777" w:rsidR="00393F96" w:rsidRDefault="00393F96" w:rsidP="00AB57B2"/>
    <w:p w14:paraId="0CA92B80" w14:textId="043890D3" w:rsidR="003C2712" w:rsidRPr="0044209B" w:rsidRDefault="003C2712" w:rsidP="003C2712">
      <w:pPr>
        <w:pStyle w:val="Heading2"/>
        <w:spacing w:after="240"/>
        <w:rPr>
          <w:lang w:val="en"/>
        </w:rPr>
      </w:pPr>
      <w:bookmarkStart w:id="20" w:name="_Toc165038232"/>
      <w:r w:rsidRPr="0044209B">
        <w:rPr>
          <w:lang w:val="en"/>
        </w:rPr>
        <w:t>102.0</w:t>
      </w:r>
      <w:r>
        <w:rPr>
          <w:lang w:val="en"/>
        </w:rPr>
        <w:t>2</w:t>
      </w:r>
      <w:r w:rsidRPr="0044209B">
        <w:rPr>
          <w:lang w:val="en"/>
        </w:rPr>
        <w:t xml:space="preserve"> </w:t>
      </w:r>
      <w:r w:rsidR="00314E0A">
        <w:rPr>
          <w:lang w:val="en"/>
        </w:rPr>
        <w:t xml:space="preserve">S24 </w:t>
      </w:r>
      <w:r w:rsidRPr="0044209B">
        <w:rPr>
          <w:lang w:val="en"/>
        </w:rPr>
        <w:t>Explore Opportunities and Challenges of a Modified Cal-GETC Subject Area 5</w:t>
      </w:r>
      <w:bookmarkEnd w:id="20"/>
    </w:p>
    <w:p w14:paraId="50F68984" w14:textId="2659EA4F" w:rsidR="003C2712" w:rsidRPr="0044209B" w:rsidRDefault="003C2712" w:rsidP="003C2712">
      <w:r w:rsidRPr="0044209B">
        <w:t>Whereas, The singular lower division general education pathway that determines academic eligibility and sufficient academic preparation for transfer to both the California State University</w:t>
      </w:r>
      <w:r w:rsidR="00E715D4">
        <w:t xml:space="preserve"> </w:t>
      </w:r>
      <w:r w:rsidRPr="0044209B">
        <w:t>and the University of California, the California General Education Transfer Curriculum</w:t>
      </w:r>
      <w:r w:rsidRPr="0044209B">
        <w:rPr>
          <w:vertAlign w:val="superscript"/>
        </w:rPr>
        <w:footnoteReference w:id="27"/>
      </w:r>
      <w:r w:rsidRPr="0044209B">
        <w:t xml:space="preserve"> requires a minimum of one course in physical sciences and one course in biological sciences, where at </w:t>
      </w:r>
      <w:r w:rsidRPr="0044209B">
        <w:lastRenderedPageBreak/>
        <w:t>least one of the courses must include a lab, Subject Area 5: Physical and Biological Sciences, which can limit student course choices when fulfilling Subject Area 5 for all majors;</w:t>
      </w:r>
    </w:p>
    <w:p w14:paraId="1D0679C0" w14:textId="281B4618" w:rsidR="003C2712" w:rsidRPr="0044209B" w:rsidRDefault="003C2712" w:rsidP="003C2712">
      <w:pPr>
        <w:rPr>
          <w:lang w:val="en"/>
        </w:rPr>
      </w:pPr>
      <w:r w:rsidRPr="0044209B">
        <w:rPr>
          <w:lang w:val="en"/>
        </w:rPr>
        <w:t>Whereas, The Academic Senate for California Community Colleges (ASCCC) Transfer Alignment Project</w:t>
      </w:r>
      <w:r w:rsidRPr="0044209B">
        <w:rPr>
          <w:vertAlign w:val="superscript"/>
          <w:lang w:val="en"/>
        </w:rPr>
        <w:footnoteReference w:id="28"/>
      </w:r>
      <w:r w:rsidRPr="0044209B">
        <w:rPr>
          <w:lang w:val="en"/>
        </w:rPr>
        <w:t>, working with intersegmental faculty to align Transfer Model Curricula and University of California Transfer Pathways, where feasible, so that students who earn Associate Degrees for Transfer are prepared for transfer to both the C</w:t>
      </w:r>
      <w:r w:rsidR="00E715D4">
        <w:rPr>
          <w:lang w:val="en"/>
        </w:rPr>
        <w:t xml:space="preserve">alifornia </w:t>
      </w:r>
      <w:r w:rsidRPr="0044209B">
        <w:rPr>
          <w:lang w:val="en"/>
        </w:rPr>
        <w:t>S</w:t>
      </w:r>
      <w:r w:rsidR="00E715D4">
        <w:rPr>
          <w:lang w:val="en"/>
        </w:rPr>
        <w:t xml:space="preserve">tate </w:t>
      </w:r>
      <w:r w:rsidRPr="0044209B">
        <w:rPr>
          <w:lang w:val="en"/>
        </w:rPr>
        <w:t>U</w:t>
      </w:r>
      <w:r w:rsidR="00E715D4">
        <w:rPr>
          <w:lang w:val="en"/>
        </w:rPr>
        <w:t>niversity (CSU)</w:t>
      </w:r>
      <w:r w:rsidRPr="0044209B">
        <w:rPr>
          <w:lang w:val="en"/>
        </w:rPr>
        <w:t xml:space="preserve"> and U</w:t>
      </w:r>
      <w:r w:rsidR="00E715D4">
        <w:rPr>
          <w:lang w:val="en"/>
        </w:rPr>
        <w:t xml:space="preserve">niversity of </w:t>
      </w:r>
      <w:r w:rsidRPr="0044209B">
        <w:rPr>
          <w:lang w:val="en"/>
        </w:rPr>
        <w:t>C</w:t>
      </w:r>
      <w:r w:rsidR="00E715D4">
        <w:rPr>
          <w:lang w:val="en"/>
        </w:rPr>
        <w:t>alifornia (UC)</w:t>
      </w:r>
      <w:r w:rsidRPr="0044209B">
        <w:rPr>
          <w:lang w:val="en"/>
        </w:rPr>
        <w:t xml:space="preserve"> systems in response to ASCCC Resolution F17 15.01 Aligning Transfer Pathways for the CSU and UC Systems</w:t>
      </w:r>
      <w:r w:rsidRPr="0044209B">
        <w:rPr>
          <w:vertAlign w:val="superscript"/>
          <w:lang w:val="en"/>
        </w:rPr>
        <w:footnoteReference w:id="29"/>
      </w:r>
      <w:r w:rsidRPr="0044209B">
        <w:rPr>
          <w:lang w:val="en"/>
        </w:rPr>
        <w:t xml:space="preserve"> and as required by AB 928 (Berman, 2021)</w:t>
      </w:r>
      <w:r w:rsidRPr="0044209B">
        <w:rPr>
          <w:vertAlign w:val="superscript"/>
          <w:lang w:val="en"/>
        </w:rPr>
        <w:footnoteReference w:id="30"/>
      </w:r>
      <w:r w:rsidRPr="0044209B">
        <w:rPr>
          <w:lang w:val="en"/>
        </w:rPr>
        <w:t xml:space="preserve"> is focusing efforts on aligning high-unit science, technology, engineering, and mathematics pathways;</w:t>
      </w:r>
    </w:p>
    <w:p w14:paraId="1C798AB3" w14:textId="77777777" w:rsidR="003C2712" w:rsidRPr="0044209B" w:rsidRDefault="003C2712" w:rsidP="003C2712">
      <w:r w:rsidRPr="0044209B">
        <w:t>Whereas, High-unit science, technology, engineering, and mathematics (STEM) majors often require multiple course sequences with labs in the physical sciences such as calculus-based physics, general chemistry for science majors, and organic chemistry for science majors as part of the lower division major preparation; and</w:t>
      </w:r>
    </w:p>
    <w:p w14:paraId="7DCAC798" w14:textId="25F49425" w:rsidR="003C2712" w:rsidRPr="0044209B" w:rsidRDefault="003C2712" w:rsidP="003C2712">
      <w:r w:rsidRPr="0044209B">
        <w:t xml:space="preserve">Whereas, </w:t>
      </w:r>
      <w:r w:rsidR="00E715D4" w:rsidRPr="0044209B">
        <w:t>California General Education Transfer Curriculum</w:t>
      </w:r>
      <w:r w:rsidR="00E715D4" w:rsidRPr="0044209B" w:rsidDel="00E715D4">
        <w:t xml:space="preserve"> </w:t>
      </w:r>
      <w:r w:rsidRPr="0044209B">
        <w:t>Subject Area 4: Social and Behavioral Sciences requires two courses from different academic disciplines instead of specifying one course from each area;</w:t>
      </w:r>
    </w:p>
    <w:p w14:paraId="675818DD" w14:textId="20A7A1CA" w:rsidR="003C2712" w:rsidRPr="0044209B" w:rsidRDefault="003C2712" w:rsidP="003C2712">
      <w:pPr>
        <w:rPr>
          <w:lang w:val="en"/>
        </w:rPr>
      </w:pPr>
      <w:r w:rsidRPr="0044209B">
        <w:rPr>
          <w:lang w:val="en"/>
        </w:rPr>
        <w:t>Resolved, That the Academic Senate for California Community Colleges work with the Intersegmental Committee of Academic Senates to explore the opportunities and challenges of a modified California General Education Transfer Curriculum</w:t>
      </w:r>
      <w:r w:rsidRPr="0044209B">
        <w:rPr>
          <w:vertAlign w:val="superscript"/>
          <w:lang w:val="en"/>
        </w:rPr>
        <w:footnoteReference w:id="31"/>
      </w:r>
      <w:r w:rsidRPr="0044209B">
        <w:rPr>
          <w:lang w:val="en"/>
        </w:rPr>
        <w:t xml:space="preserve"> Subject Area 5: Physical and Biological Sciences that would require two courses from different academic disciplines where at least one course includes a lab instead of specifying one course from each area.</w:t>
      </w:r>
    </w:p>
    <w:p w14:paraId="39BEBFDC" w14:textId="77777777" w:rsidR="003C2712" w:rsidRPr="0044209B" w:rsidRDefault="003C2712" w:rsidP="003C2712">
      <w:pPr>
        <w:rPr>
          <w:lang w:val="en"/>
        </w:rPr>
      </w:pPr>
      <w:r w:rsidRPr="0044209B">
        <w:rPr>
          <w:lang w:val="en"/>
        </w:rPr>
        <w:t>Contact: Ginni May, Sacramento City College</w:t>
      </w:r>
    </w:p>
    <w:p w14:paraId="72375309" w14:textId="087F00E0" w:rsidR="003C2712" w:rsidRDefault="009C558D" w:rsidP="003C2712">
      <w:pPr>
        <w:rPr>
          <w:lang w:val="en"/>
        </w:rPr>
      </w:pPr>
      <w:r>
        <w:rPr>
          <w:lang w:val="en"/>
        </w:rPr>
        <w:t>MSC</w:t>
      </w:r>
    </w:p>
    <w:p w14:paraId="49CAD9D9" w14:textId="77777777" w:rsidR="009C558D" w:rsidRDefault="009C558D" w:rsidP="003C2712">
      <w:pPr>
        <w:rPr>
          <w:lang w:val="en"/>
        </w:rPr>
      </w:pPr>
    </w:p>
    <w:p w14:paraId="678DBA4F" w14:textId="7C5FD9EF" w:rsidR="00FA18B4" w:rsidRPr="0044209B" w:rsidRDefault="00FA18B4" w:rsidP="00FA18B4">
      <w:pPr>
        <w:pStyle w:val="Heading2"/>
        <w:spacing w:after="240"/>
        <w:rPr>
          <w:lang w:val="en"/>
        </w:rPr>
      </w:pPr>
      <w:bookmarkStart w:id="21" w:name="_Toc165038233"/>
      <w:r w:rsidRPr="0095044D">
        <w:rPr>
          <w:lang w:val="en"/>
        </w:rPr>
        <w:t>102.0</w:t>
      </w:r>
      <w:r>
        <w:rPr>
          <w:lang w:val="en"/>
        </w:rPr>
        <w:t>3</w:t>
      </w:r>
      <w:r w:rsidRPr="0044209B">
        <w:rPr>
          <w:lang w:val="en"/>
        </w:rPr>
        <w:t xml:space="preserve"> </w:t>
      </w:r>
      <w:r w:rsidR="00314E0A">
        <w:rPr>
          <w:lang w:val="en"/>
        </w:rPr>
        <w:t xml:space="preserve">S24 </w:t>
      </w:r>
      <w:r w:rsidRPr="0044209B">
        <w:rPr>
          <w:lang w:val="en"/>
        </w:rPr>
        <w:t>Partial Cal-GETC Certification for High-Unit STEM Majors</w:t>
      </w:r>
      <w:bookmarkEnd w:id="21"/>
    </w:p>
    <w:p w14:paraId="433144DC" w14:textId="77777777" w:rsidR="00FA18B4" w:rsidRPr="0044209B" w:rsidRDefault="00FA18B4" w:rsidP="00FA18B4">
      <w:pPr>
        <w:rPr>
          <w:lang w:val="en"/>
        </w:rPr>
      </w:pPr>
      <w:r w:rsidRPr="0044209B">
        <w:rPr>
          <w:lang w:val="en"/>
        </w:rPr>
        <w:t>Whereas, The singular lower division general education pathway that determines academic eligibility and sufficient academic preparation for transfer to both the California State University and the University of California, the California General Education Transfer Curriculum</w:t>
      </w:r>
      <w:r w:rsidRPr="0044209B">
        <w:rPr>
          <w:vertAlign w:val="superscript"/>
          <w:lang w:val="en"/>
        </w:rPr>
        <w:footnoteReference w:id="32"/>
      </w:r>
      <w:r>
        <w:rPr>
          <w:lang w:val="en"/>
        </w:rPr>
        <w:t>,</w:t>
      </w:r>
      <w:r w:rsidRPr="0044209B">
        <w:rPr>
          <w:lang w:val="en"/>
        </w:rPr>
        <w:t xml:space="preserve"> requires a minimum of 11 courses and 34 semester units and is a barrier to creating high-unit science, </w:t>
      </w:r>
      <w:r w:rsidRPr="0044209B">
        <w:rPr>
          <w:lang w:val="en"/>
        </w:rPr>
        <w:lastRenderedPageBreak/>
        <w:t>technology, engineering, and mathematics Transfer Model Curriculum due to the number of general education units required to be completed before transfer;</w:t>
      </w:r>
    </w:p>
    <w:p w14:paraId="542B95CB" w14:textId="18994BF8" w:rsidR="00FA18B4" w:rsidRPr="0044209B" w:rsidRDefault="00FA18B4" w:rsidP="00FA18B4">
      <w:pPr>
        <w:rPr>
          <w:lang w:val="en"/>
        </w:rPr>
      </w:pPr>
      <w:r w:rsidRPr="0044209B">
        <w:rPr>
          <w:lang w:val="en"/>
        </w:rPr>
        <w:t>Whereas, The Academic Senate for California Community Colleges (ASCCC) Transfer Alignment Project</w:t>
      </w:r>
      <w:r w:rsidRPr="0044209B">
        <w:rPr>
          <w:vertAlign w:val="superscript"/>
          <w:lang w:val="en"/>
        </w:rPr>
        <w:footnoteReference w:id="33"/>
      </w:r>
      <w:r w:rsidRPr="0044209B">
        <w:rPr>
          <w:lang w:val="en"/>
        </w:rPr>
        <w:t>, working with intersegmental faculty to align Transfer Model Curricula and University of California Transfer Pathways, where feasible, so that students who earn Associate Degrees for Transfer are prepared for transfer to both the California State University and University of California systems in response to ASCCC Resolution F17 15.01 Aligning Transfer Pathways for the CSU and UC Systems</w:t>
      </w:r>
      <w:r w:rsidRPr="0044209B">
        <w:rPr>
          <w:vertAlign w:val="superscript"/>
          <w:lang w:val="en"/>
        </w:rPr>
        <w:footnoteReference w:id="34"/>
      </w:r>
      <w:r w:rsidRPr="0044209B">
        <w:rPr>
          <w:lang w:val="en"/>
        </w:rPr>
        <w:t>, and as required by AB 928 (Berman, 2021)</w:t>
      </w:r>
      <w:r w:rsidRPr="0044209B">
        <w:rPr>
          <w:vertAlign w:val="superscript"/>
          <w:lang w:val="en"/>
        </w:rPr>
        <w:footnoteReference w:id="35"/>
      </w:r>
      <w:r w:rsidRPr="0044209B">
        <w:rPr>
          <w:lang w:val="en"/>
        </w:rPr>
        <w:t xml:space="preserve"> is focusing efforts on aligning high-unit science, technology, engineering, and mathematics pathways;</w:t>
      </w:r>
    </w:p>
    <w:p w14:paraId="271E7FD6" w14:textId="77777777" w:rsidR="00FA18B4" w:rsidRPr="0044209B" w:rsidRDefault="00FA18B4" w:rsidP="00FA18B4">
      <w:r w:rsidRPr="0044209B">
        <w:t>Whereas, Students in high-unit science, technology, engineering, and mathematics majors that begin their education at 4-year institutions often take lower division general education courses during their junior and senior years in order to complete the lower division major preparation courses during their freshman and sophomore years and to balance the intense upper division major-specific course load with non-major-specific courses; and</w:t>
      </w:r>
    </w:p>
    <w:p w14:paraId="581B0E94" w14:textId="77777777" w:rsidR="00FA18B4" w:rsidRPr="0044209B" w:rsidRDefault="00FA18B4" w:rsidP="00FA18B4">
      <w:r w:rsidRPr="0044209B">
        <w:t>Whereas, A partial California General Education Transfer Curriculum (Cal-GETC)</w:t>
      </w:r>
      <w:r w:rsidRPr="0044209B">
        <w:rPr>
          <w:vertAlign w:val="superscript"/>
        </w:rPr>
        <w:footnoteReference w:id="36"/>
      </w:r>
      <w:r w:rsidRPr="0044209B">
        <w:t xml:space="preserve"> certification such as one where students could defer completion of one course from Cal-GETC Subject Area 3 and/or one course from Cal-GETC Subject Area 4 until after transfer is equitable to what has been permitted for some high-unit STEM associate degrees for transfer such as biology, chemistry, and environmental science</w:t>
      </w:r>
      <w:r w:rsidRPr="0044209B">
        <w:rPr>
          <w:vertAlign w:val="superscript"/>
        </w:rPr>
        <w:footnoteReference w:id="37"/>
      </w:r>
      <w:r w:rsidRPr="0044209B">
        <w:t xml:space="preserve"> and what is current practice for some transfer admits to the University of California under the Intersegmental General Education Transfer Curriculum</w:t>
      </w:r>
      <w:r w:rsidRPr="0044209B">
        <w:rPr>
          <w:vertAlign w:val="superscript"/>
        </w:rPr>
        <w:footnoteReference w:id="38"/>
      </w:r>
      <w:r w:rsidRPr="0044209B">
        <w:t>, would provide access to an equitable college experience for students, especially those in high-unit STEM majors, and would facilitate alignment of TMCs and UCTPs, especially in STEM pathways;</w:t>
      </w:r>
    </w:p>
    <w:p w14:paraId="210B3BCE" w14:textId="480A88D6" w:rsidR="00FA18B4" w:rsidRPr="0044209B" w:rsidRDefault="00FA18B4" w:rsidP="00FA18B4">
      <w:r w:rsidRPr="0044209B">
        <w:t xml:space="preserve">Resolved, That the Academic Senate for California Community Colleges support that students have access to an equitable college experience whether beginning their college education at a 4-year institution or beginning at a California </w:t>
      </w:r>
      <w:r w:rsidR="00DC68D9">
        <w:t>c</w:t>
      </w:r>
      <w:r w:rsidRPr="0044209B">
        <w:t xml:space="preserve">ommunity </w:t>
      </w:r>
      <w:r w:rsidR="00DC68D9">
        <w:t>c</w:t>
      </w:r>
      <w:r w:rsidRPr="0044209B">
        <w:t xml:space="preserve">ollege and transferring to a 4-year institution; </w:t>
      </w:r>
    </w:p>
    <w:p w14:paraId="470200DD" w14:textId="77777777" w:rsidR="00FA18B4" w:rsidRPr="0044209B" w:rsidRDefault="00FA18B4" w:rsidP="00FA18B4">
      <w:r w:rsidRPr="0044209B">
        <w:rPr>
          <w:lang w:val="en"/>
        </w:rPr>
        <w:lastRenderedPageBreak/>
        <w:t>Resolved, That the Academic Senate for California Community Colleges work with the Academic Senate of the California State University, the California Community Colleges Chancellor’s Office, the California State University Chancellor’s Office, and the California Intersegmental Articulation Council to establish protocols for partial California General Education Transfer Curriculum</w:t>
      </w:r>
      <w:r w:rsidRPr="0044209B">
        <w:rPr>
          <w:vertAlign w:val="superscript"/>
        </w:rPr>
        <w:footnoteReference w:id="39"/>
      </w:r>
      <w:r w:rsidRPr="0044209B">
        <w:rPr>
          <w:lang w:val="en"/>
        </w:rPr>
        <w:t xml:space="preserve"> certification; </w:t>
      </w:r>
    </w:p>
    <w:p w14:paraId="32E7EC83" w14:textId="77777777" w:rsidR="00FA18B4" w:rsidRPr="0044209B" w:rsidRDefault="00FA18B4" w:rsidP="00FA18B4">
      <w:pPr>
        <w:rPr>
          <w:lang w:val="en"/>
        </w:rPr>
      </w:pPr>
      <w:r w:rsidRPr="0044209B">
        <w:rPr>
          <w:lang w:val="en"/>
        </w:rPr>
        <w:t>Resolved, That the Academic Senate for California Community Colleges work with the California Community Colleges Chancellor’s Office and the California State University Chancellor’s Office to permit partial California General Education Transfer Curriculum</w:t>
      </w:r>
      <w:r w:rsidRPr="0044209B">
        <w:rPr>
          <w:vertAlign w:val="superscript"/>
          <w:lang w:val="en"/>
        </w:rPr>
        <w:footnoteReference w:id="40"/>
      </w:r>
      <w:r w:rsidRPr="0044209B">
        <w:rPr>
          <w:lang w:val="en"/>
        </w:rPr>
        <w:t xml:space="preserve"> certification for high-unit science, technology, engineering, and mathematics associate degrees for transfer provided that the California State University has similar majors that could be completed in 60 units after transfer; and</w:t>
      </w:r>
    </w:p>
    <w:p w14:paraId="06692959" w14:textId="77777777" w:rsidR="00FA18B4" w:rsidRPr="0044209B" w:rsidRDefault="00FA18B4" w:rsidP="00FA18B4">
      <w:r w:rsidRPr="0044209B">
        <w:t>Resolved, That the Academic Senate for California Community Colleges work with the California Community Colleges Chancellor’s Office to permit colleges to award an associate degree for transfer to students that receive a partial California General Education Transfer Curriculum</w:t>
      </w:r>
      <w:r w:rsidRPr="0044209B">
        <w:rPr>
          <w:vertAlign w:val="superscript"/>
        </w:rPr>
        <w:footnoteReference w:id="41"/>
      </w:r>
      <w:r w:rsidRPr="0044209B">
        <w:t xml:space="preserve"> certification.</w:t>
      </w:r>
    </w:p>
    <w:p w14:paraId="0B63E0F3" w14:textId="77777777" w:rsidR="00FA18B4" w:rsidRPr="0044209B" w:rsidRDefault="00FA18B4" w:rsidP="00FA18B4">
      <w:pPr>
        <w:rPr>
          <w:lang w:val="en"/>
        </w:rPr>
      </w:pPr>
      <w:r w:rsidRPr="0044209B">
        <w:rPr>
          <w:lang w:val="en"/>
        </w:rPr>
        <w:t>Contact: Ginni May, Sacramento City College</w:t>
      </w:r>
    </w:p>
    <w:p w14:paraId="6EAFB380" w14:textId="624DC719" w:rsidR="00FA18B4" w:rsidRDefault="00FF48A1" w:rsidP="003C2712">
      <w:pPr>
        <w:rPr>
          <w:lang w:val="en"/>
        </w:rPr>
      </w:pPr>
      <w:r>
        <w:rPr>
          <w:lang w:val="en"/>
        </w:rPr>
        <w:t>MSC</w:t>
      </w:r>
    </w:p>
    <w:p w14:paraId="377F9B4E" w14:textId="77777777" w:rsidR="0085291A" w:rsidRDefault="0085291A" w:rsidP="003C2712"/>
    <w:p w14:paraId="24E2DEC7" w14:textId="6B6F60D6" w:rsidR="00DC3E70" w:rsidRPr="00F678D3" w:rsidRDefault="00DC3E70" w:rsidP="00DC3E70">
      <w:pPr>
        <w:pStyle w:val="Heading2"/>
        <w:spacing w:after="240"/>
      </w:pPr>
      <w:bookmarkStart w:id="22" w:name="_Toc165038234"/>
      <w:r>
        <w:t xml:space="preserve">102.04 </w:t>
      </w:r>
      <w:r w:rsidR="00314E0A">
        <w:t>S24</w:t>
      </w:r>
      <w:r w:rsidR="006B4A90">
        <w:t xml:space="preserve"> </w:t>
      </w:r>
      <w:r w:rsidRPr="00F678D3">
        <w:t>Streamlining Transfer for STEM Majors</w:t>
      </w:r>
      <w:bookmarkEnd w:id="22"/>
    </w:p>
    <w:p w14:paraId="2E893104" w14:textId="196A5CDF" w:rsidR="00DC3E70" w:rsidRPr="00F678D3" w:rsidRDefault="00DC3E70" w:rsidP="00DC3E70">
      <w:r w:rsidRPr="00F678D3">
        <w:t>Whereas</w:t>
      </w:r>
      <w:r w:rsidR="003C4D63">
        <w:t>,</w:t>
      </w:r>
      <w:r w:rsidRPr="00F678D3">
        <w:t xml:space="preserve"> Assembly Bill 928 </w:t>
      </w:r>
      <w:r w:rsidRPr="00F678D3">
        <w:rPr>
          <w:lang w:val="en"/>
        </w:rPr>
        <w:t>(Berman, 2021)</w:t>
      </w:r>
      <w:r>
        <w:rPr>
          <w:rStyle w:val="FootnoteReference"/>
          <w:lang w:val="en"/>
        </w:rPr>
        <w:footnoteReference w:id="42"/>
      </w:r>
      <w:r w:rsidRPr="00F678D3">
        <w:t>, Section 2, establishes The Associate Degree for Transfer (ADT) to support students in high unit science, technology, engineering, and mathematics (STEM) majors</w:t>
      </w:r>
      <w:r w:rsidR="00B030DA">
        <w:t xml:space="preserve"> </w:t>
      </w:r>
      <w:r w:rsidRPr="00F678D3">
        <w:t>that meet admissions requirements to the California State University and the University of California</w:t>
      </w:r>
      <w:r>
        <w:t xml:space="preserve"> </w:t>
      </w:r>
      <w:r w:rsidRPr="00F678D3">
        <w:t>(UC)</w:t>
      </w:r>
      <w:r w:rsidRPr="00F678D3">
        <w:rPr>
          <w:vertAlign w:val="superscript"/>
        </w:rPr>
        <w:footnoteReference w:id="43"/>
      </w:r>
      <w:r w:rsidRPr="00F678D3">
        <w:t xml:space="preserve">, and the December 2023 </w:t>
      </w:r>
      <w:r w:rsidRPr="00F678D3">
        <w:rPr>
          <w:i/>
          <w:iCs/>
        </w:rPr>
        <w:t xml:space="preserve">Final Report from The Associate Degree for Transfer Intersegmental Committee </w:t>
      </w:r>
      <w:r w:rsidRPr="00F678D3">
        <w:t>specifically recommends an allowance for “general educational flexibility” in STEM ADT pathways</w:t>
      </w:r>
      <w:r w:rsidRPr="00F678D3">
        <w:rPr>
          <w:vertAlign w:val="superscript"/>
        </w:rPr>
        <w:footnoteReference w:id="44"/>
      </w:r>
      <w:r w:rsidRPr="00F678D3">
        <w:t>;</w:t>
      </w:r>
    </w:p>
    <w:p w14:paraId="602A2D2F" w14:textId="77777777" w:rsidR="00DC3E70" w:rsidRPr="00F678D3" w:rsidRDefault="00DC3E70" w:rsidP="00DC3E70">
      <w:r w:rsidRPr="00F678D3">
        <w:t xml:space="preserve">Whereas, California community college students who hope to transfer in disciplines with an Associate </w:t>
      </w:r>
      <w:r w:rsidRPr="00F678D3">
        <w:rPr>
          <w:lang w:val="en"/>
        </w:rPr>
        <w:t>Degree for Transfer</w:t>
      </w:r>
      <w:r w:rsidRPr="00F678D3">
        <w:t xml:space="preserve"> and who major in high-unit, highly-impacted science, technology, engineering, and mathematics degrees are currently required to complete a transfer general </w:t>
      </w:r>
      <w:r w:rsidRPr="00F678D3">
        <w:lastRenderedPageBreak/>
        <w:t>education pattern, while students who start at the California State University can complete general education requirements during their junior and senior years so as to permit completion of lower-division major preparation courses</w:t>
      </w:r>
      <w:r w:rsidRPr="00F678D3">
        <w:rPr>
          <w:vertAlign w:val="superscript"/>
        </w:rPr>
        <w:footnoteReference w:id="45"/>
      </w:r>
      <w:r w:rsidRPr="00F678D3">
        <w:t xml:space="preserve"> in their first two years;   </w:t>
      </w:r>
    </w:p>
    <w:p w14:paraId="4D144FE5" w14:textId="561B2CD6" w:rsidR="00DC3E70" w:rsidRPr="00F678D3" w:rsidRDefault="00DC3E70" w:rsidP="00DC3E70">
      <w:r w:rsidRPr="00F678D3">
        <w:t>Whereas, There are majors in which ADTs do not currently exist, and in one case,  Mt. San Antonio College, Victor Valley College, and Citrus College established local memorandums of understanding with Cal Poly Pomona to offer transfer admissions bonuses for students that complete local, transfer-aligned certificates of achievement (which do not require general education course sequences) in high-unit, highly-impacted, science</w:t>
      </w:r>
      <w:r w:rsidRPr="00F678D3">
        <w:rPr>
          <w:lang w:val="en"/>
        </w:rPr>
        <w:t>, technology, engineering, and mathematics</w:t>
      </w:r>
      <w:r w:rsidRPr="00F678D3">
        <w:t xml:space="preserve"> disciplines in which ADTs do</w:t>
      </w:r>
      <w:r>
        <w:t xml:space="preserve"> </w:t>
      </w:r>
      <w:r w:rsidRPr="00F678D3">
        <w:t>n</w:t>
      </w:r>
      <w:r>
        <w:t>o</w:t>
      </w:r>
      <w:r w:rsidRPr="00F678D3">
        <w:t>t exist, and for which there are no systemwide admission benefits (unlike the admissions considerations  and coursework incentives granted to Associate Degree for Transfer completers)</w:t>
      </w:r>
      <w:r w:rsidRPr="00F678D3">
        <w:rPr>
          <w:vertAlign w:val="superscript"/>
        </w:rPr>
        <w:footnoteReference w:id="46"/>
      </w:r>
      <w:r w:rsidRPr="00F678D3">
        <w:t>; and</w:t>
      </w:r>
    </w:p>
    <w:p w14:paraId="1F49ECA5" w14:textId="0C4F8B61" w:rsidR="00DC3E70" w:rsidRPr="00F678D3" w:rsidRDefault="00DC3E70" w:rsidP="00DC3E70">
      <w:r w:rsidRPr="00F678D3">
        <w:t xml:space="preserve">Whereas, </w:t>
      </w:r>
      <w:r w:rsidRPr="00F678D3">
        <w:rPr>
          <w:lang w:val="en"/>
        </w:rPr>
        <w:t>S</w:t>
      </w:r>
      <w:proofErr w:type="spellStart"/>
      <w:r w:rsidRPr="00F678D3">
        <w:t>tudents</w:t>
      </w:r>
      <w:proofErr w:type="spellEnd"/>
      <w:r w:rsidRPr="00F678D3">
        <w:t xml:space="preserve"> from low income and demographically minoritized communities in engineering education (women, Black, or African-American, American Indian/Alaska Native, Latino/a/x, Filipino/a/x</w:t>
      </w:r>
      <w:r w:rsidR="000C7CE6">
        <w:t xml:space="preserve">, </w:t>
      </w:r>
      <w:r w:rsidRPr="00F678D3">
        <w:t>and Pacific Islander students) are more likely to begin their higher education in community colleges</w:t>
      </w:r>
      <w:r w:rsidRPr="00F678D3">
        <w:rPr>
          <w:vertAlign w:val="superscript"/>
        </w:rPr>
        <w:footnoteReference w:id="47"/>
      </w:r>
      <w:r w:rsidRPr="00F678D3">
        <w:rPr>
          <w:vertAlign w:val="superscript"/>
        </w:rPr>
        <w:t>,</w:t>
      </w:r>
      <w:r w:rsidRPr="00F678D3">
        <w:rPr>
          <w:vertAlign w:val="superscript"/>
        </w:rPr>
        <w:footnoteReference w:id="48"/>
      </w:r>
      <w:r w:rsidRPr="00F678D3">
        <w:t>; and science, technology, engineering, and mathematics (STEM) transfer students are often deterred by the lack of uniformity in lower-division course requirements for high-unit, highly-impacted university STEM degree programs (e.g. engineering and data science), often taking classes that are not transferable, and often incurring higher costs and requiring longer time commitment toward degree completion</w:t>
      </w:r>
      <w:r w:rsidRPr="00F678D3">
        <w:rPr>
          <w:vertAlign w:val="superscript"/>
        </w:rPr>
        <w:footnoteReference w:id="49"/>
      </w:r>
      <w:r w:rsidRPr="00F678D3">
        <w:rPr>
          <w:vertAlign w:val="superscript"/>
        </w:rPr>
        <w:t>,</w:t>
      </w:r>
      <w:r>
        <w:rPr>
          <w:vertAlign w:val="superscript"/>
        </w:rPr>
        <w:t xml:space="preserve"> </w:t>
      </w:r>
      <w:r w:rsidRPr="00F678D3">
        <w:rPr>
          <w:vertAlign w:val="superscript"/>
        </w:rPr>
        <w:footnoteReference w:id="50"/>
      </w:r>
      <w:r w:rsidRPr="00F678D3">
        <w:t>;</w:t>
      </w:r>
    </w:p>
    <w:p w14:paraId="7208315B" w14:textId="77777777" w:rsidR="00DC3E70" w:rsidRPr="00F678D3" w:rsidRDefault="00DC3E70" w:rsidP="00DC3E70">
      <w:pPr>
        <w:rPr>
          <w:lang w:val="en"/>
        </w:rPr>
      </w:pPr>
      <w:r w:rsidRPr="00F678D3">
        <w:rPr>
          <w:lang w:val="en"/>
        </w:rPr>
        <w:t>Resolved, That the Academic Senate for California Community Colleges explore the value and implications of the creation of Model Certificates of Achievement</w:t>
      </w:r>
      <w:r w:rsidRPr="00F678D3">
        <w:rPr>
          <w:vertAlign w:val="superscript"/>
          <w:lang w:val="en"/>
        </w:rPr>
        <w:footnoteReference w:id="51"/>
      </w:r>
      <w:r w:rsidRPr="00F678D3">
        <w:rPr>
          <w:lang w:val="en"/>
        </w:rPr>
        <w:t xml:space="preserve"> that would increase access </w:t>
      </w:r>
      <w:r w:rsidRPr="00F678D3">
        <w:rPr>
          <w:lang w:val="en"/>
        </w:rPr>
        <w:lastRenderedPageBreak/>
        <w:t>to admission priority for students in high-unit STEM majors as they prepare for transfer, and provide a report back at the 2025 Spring Plenary Session; and</w:t>
      </w:r>
    </w:p>
    <w:p w14:paraId="3F5A71D6" w14:textId="6D0FDEA6" w:rsidR="00DC3E70" w:rsidRPr="00F678D3" w:rsidRDefault="00DC3E70" w:rsidP="00DC3E70">
      <w:r w:rsidRPr="00F678D3">
        <w:t>Resolved, That the Academic Senate for California Community Colleges provide professional learning resources that encourage local curriculum committees to explore</w:t>
      </w:r>
      <w:r w:rsidR="00EC2E69">
        <w:t xml:space="preserve"> and </w:t>
      </w:r>
      <w:r w:rsidRPr="00F678D3">
        <w:t>share innovative practices (e.g</w:t>
      </w:r>
      <w:r>
        <w:t>.,</w:t>
      </w:r>
      <w:r w:rsidRPr="00F678D3">
        <w:t xml:space="preserve"> stacked certificates for transfer, and reverse transfer) to address high-unit science, technology, engineering, and mathematics degrees. </w:t>
      </w:r>
    </w:p>
    <w:p w14:paraId="0BCDE94D" w14:textId="77777777" w:rsidR="00DC3E70" w:rsidRDefault="00DC3E70" w:rsidP="00DC3E70">
      <w:pPr>
        <w:rPr>
          <w:lang w:val="en"/>
        </w:rPr>
      </w:pPr>
      <w:r w:rsidRPr="00F678D3">
        <w:rPr>
          <w:lang w:val="en"/>
        </w:rPr>
        <w:t>Contact: Juan Arzola, College of the Sequoias</w:t>
      </w:r>
    </w:p>
    <w:p w14:paraId="355DBFF6" w14:textId="6E50A33C" w:rsidR="008A2B3A" w:rsidRPr="00F678D3" w:rsidRDefault="008A2B3A" w:rsidP="00DC3E70">
      <w:pPr>
        <w:rPr>
          <w:lang w:val="en"/>
        </w:rPr>
      </w:pPr>
      <w:r>
        <w:rPr>
          <w:lang w:val="en"/>
        </w:rPr>
        <w:t>MSU</w:t>
      </w:r>
    </w:p>
    <w:p w14:paraId="157782D5" w14:textId="77777777" w:rsidR="00DC3E70" w:rsidRDefault="00DC3E70" w:rsidP="00AB57B2">
      <w:pPr>
        <w:rPr>
          <w:lang w:val="en"/>
        </w:rPr>
      </w:pPr>
    </w:p>
    <w:p w14:paraId="5B06F886" w14:textId="77777777" w:rsidR="00C76EED" w:rsidRDefault="00C76EED" w:rsidP="00AB57B2">
      <w:pPr>
        <w:rPr>
          <w:lang w:val="en"/>
        </w:rPr>
      </w:pPr>
    </w:p>
    <w:p w14:paraId="7AC7978B" w14:textId="77777777" w:rsidR="000A65B8" w:rsidRDefault="000A65B8" w:rsidP="000A65B8">
      <w:pPr>
        <w:pStyle w:val="Heading1"/>
      </w:pPr>
      <w:bookmarkStart w:id="23" w:name="_Toc162362549"/>
      <w:bookmarkStart w:id="24" w:name="_Toc165038235"/>
      <w:r w:rsidRPr="001A6DEA">
        <w:t>103 G</w:t>
      </w:r>
      <w:bookmarkEnd w:id="23"/>
      <w:r>
        <w:t>RADING POLICIES</w:t>
      </w:r>
      <w:bookmarkEnd w:id="24"/>
    </w:p>
    <w:p w14:paraId="702C20C4" w14:textId="77777777" w:rsidR="00AB5804" w:rsidRPr="001A6DEA" w:rsidRDefault="00AB5804" w:rsidP="00AB5804">
      <w:pPr>
        <w:rPr>
          <w:lang w:val="en"/>
        </w:rPr>
      </w:pPr>
    </w:p>
    <w:p w14:paraId="67F1EF72" w14:textId="383A6EDA" w:rsidR="00AB5804" w:rsidRPr="001A6DEA" w:rsidRDefault="00AB5804" w:rsidP="00FC653A">
      <w:pPr>
        <w:pStyle w:val="Heading2"/>
        <w:spacing w:after="240"/>
        <w:rPr>
          <w:lang w:val="en"/>
        </w:rPr>
      </w:pPr>
      <w:bookmarkStart w:id="25" w:name="_Toc162362541"/>
      <w:bookmarkStart w:id="26" w:name="_Toc165038236"/>
      <w:r w:rsidRPr="001A6DEA">
        <w:rPr>
          <w:lang w:val="en"/>
        </w:rPr>
        <w:t>103.01 S24 Expanding Grading Options for Dual Enrollment Courses</w:t>
      </w:r>
      <w:bookmarkEnd w:id="25"/>
      <w:bookmarkEnd w:id="26"/>
    </w:p>
    <w:p w14:paraId="477BC626" w14:textId="5AC725D9" w:rsidR="00AB5804" w:rsidRPr="001A6DEA" w:rsidRDefault="00AB5804" w:rsidP="00AB5804">
      <w:r w:rsidRPr="001A6DEA">
        <w:t>Whereas, The California State University</w:t>
      </w:r>
      <w:r w:rsidRPr="001A6DEA">
        <w:rPr>
          <w:vertAlign w:val="superscript"/>
        </w:rPr>
        <w:footnoteReference w:id="52"/>
      </w:r>
      <w:r w:rsidRPr="001A6DEA">
        <w:t xml:space="preserve"> and University of California</w:t>
      </w:r>
      <w:r w:rsidRPr="001A6DEA">
        <w:rPr>
          <w:vertAlign w:val="superscript"/>
        </w:rPr>
        <w:footnoteReference w:id="53"/>
      </w:r>
      <w:r w:rsidRPr="001A6DEA">
        <w:t xml:space="preserve"> require first-year students to complete the A-G subject requirements with grades of “C” or higher; </w:t>
      </w:r>
    </w:p>
    <w:p w14:paraId="726D828F" w14:textId="77777777" w:rsidR="00AB5804" w:rsidRPr="001A6DEA" w:rsidRDefault="00AB5804" w:rsidP="00AB5804">
      <w:r w:rsidRPr="001A6DEA">
        <w:t>Whereas, High school students may use transferable college courses to supplement their A-G subject requirements through dual enrollment or concurrent enrollment; and</w:t>
      </w:r>
    </w:p>
    <w:p w14:paraId="6E369139" w14:textId="77777777" w:rsidR="00AB5804" w:rsidRPr="001A6DEA" w:rsidRDefault="00AB5804" w:rsidP="00AB5804">
      <w:r w:rsidRPr="001A6DEA">
        <w:t>Whereas, California community college courses are accepted for credit at both the University of California (UC) and California State University with letter grades and pass/no-pass (P/NP) options, and that for transfer students to the UC, UCs will allow up to 14 semester (21 quarter) units to be completed with (P/NP) to meet the 60 units required for minimum eligibility;</w:t>
      </w:r>
    </w:p>
    <w:p w14:paraId="3E6E197D" w14:textId="516D8B0E" w:rsidR="00AB5804" w:rsidRPr="001A6DEA" w:rsidRDefault="00AB5804" w:rsidP="00AB5804">
      <w:r w:rsidRPr="001A6DEA">
        <w:t xml:space="preserve">Resolved, That the Academic Senate for California Community Colleges work with </w:t>
      </w:r>
      <w:r w:rsidR="00E708F8">
        <w:t>the Intersegmental Committee of the Academic Senates, California State University Chancellor’s Office, and the University of California Office of the President</w:t>
      </w:r>
      <w:r w:rsidR="002210CE">
        <w:t xml:space="preserve"> </w:t>
      </w:r>
      <w:r w:rsidRPr="001A6DEA">
        <w:t>to consider allow</w:t>
      </w:r>
      <w:r w:rsidR="00E60B40">
        <w:t>ing</w:t>
      </w:r>
      <w:r w:rsidRPr="001A6DEA">
        <w:t xml:space="preserve"> college courses completed with pass/no-pass by dual enrollment students to satisfy the A-G subject requirements for the California State University and University of California.</w:t>
      </w:r>
    </w:p>
    <w:p w14:paraId="20D4ABE6" w14:textId="77777777" w:rsidR="00AB5804" w:rsidRPr="001A6DEA" w:rsidRDefault="00AB5804" w:rsidP="00AB5804">
      <w:r w:rsidRPr="001A6DEA">
        <w:t>Contact: Mark Edward Osea, Mendocino College, Area B</w:t>
      </w:r>
    </w:p>
    <w:p w14:paraId="32420413" w14:textId="448F592F" w:rsidR="00FE1A65" w:rsidRDefault="00963E1C" w:rsidP="00AB5804">
      <w:r>
        <w:t>MS</w:t>
      </w:r>
      <w:r w:rsidR="00C80FFE">
        <w:t>C</w:t>
      </w:r>
    </w:p>
    <w:p w14:paraId="4AB71866" w14:textId="77777777" w:rsidR="00963E1C" w:rsidRDefault="00963E1C" w:rsidP="00AB5804"/>
    <w:p w14:paraId="560DAD4D" w14:textId="1B4FC7A2" w:rsidR="000A65B8" w:rsidRPr="00FF14AB" w:rsidRDefault="000A65B8" w:rsidP="000A65B8">
      <w:pPr>
        <w:pStyle w:val="Heading1"/>
      </w:pPr>
      <w:bookmarkStart w:id="27" w:name="_Toc165038237"/>
      <w:r w:rsidRPr="00FF14AB">
        <w:t>105 ST</w:t>
      </w:r>
      <w:r w:rsidR="00EE41B2">
        <w:t>U</w:t>
      </w:r>
      <w:r w:rsidRPr="00FF14AB">
        <w:t>DENT PREPARATION AND SUCCESS</w:t>
      </w:r>
      <w:bookmarkEnd w:id="27"/>
    </w:p>
    <w:p w14:paraId="693628B1" w14:textId="77777777" w:rsidR="00335308" w:rsidRPr="001A6DEA" w:rsidRDefault="00335308" w:rsidP="00335308"/>
    <w:p w14:paraId="5DC3F9AC" w14:textId="1AC95123" w:rsidR="00335308" w:rsidRPr="001A6DEA" w:rsidRDefault="00335308" w:rsidP="00FC653A">
      <w:pPr>
        <w:pStyle w:val="Heading2"/>
        <w:spacing w:after="240"/>
        <w:rPr>
          <w:lang w:val="en"/>
        </w:rPr>
      </w:pPr>
      <w:bookmarkStart w:id="28" w:name="_Toc162362539"/>
      <w:bookmarkStart w:id="29" w:name="_Toc165038238"/>
      <w:r w:rsidRPr="001A6DEA">
        <w:rPr>
          <w:lang w:val="en"/>
        </w:rPr>
        <w:t>105.01 S24 Align Approval and Completion of IGETC/Cal-GETC Courses with University of California Transfer Admission Requirements</w:t>
      </w:r>
      <w:bookmarkEnd w:id="28"/>
      <w:bookmarkEnd w:id="29"/>
    </w:p>
    <w:p w14:paraId="424E207D" w14:textId="18B36765" w:rsidR="00335308" w:rsidRPr="001A6DEA" w:rsidRDefault="00335308" w:rsidP="00335308">
      <w:r w:rsidRPr="001A6DEA">
        <w:t>Whereas, A basic transfer admission requirement of the University of California is the completion of at least seven courses (21 semester units minimum) of coursework approved by the University of California Office of the President (UCOP) for inclusion in the five University of California Transfer Eligibility areas</w:t>
      </w:r>
      <w:r w:rsidRPr="001A6DEA">
        <w:rPr>
          <w:vertAlign w:val="superscript"/>
        </w:rPr>
        <w:footnoteReference w:id="54"/>
      </w:r>
      <w:r w:rsidRPr="001A6DEA">
        <w:t xml:space="preserve"> (the so-called “seven-course pattern”)</w:t>
      </w:r>
      <w:r w:rsidRPr="001A6DEA">
        <w:rPr>
          <w:vertAlign w:val="superscript"/>
        </w:rPr>
        <w:footnoteReference w:id="55"/>
      </w:r>
      <w:r w:rsidRPr="001A6DEA">
        <w:t xml:space="preserve">, for which the standards for inclusion of California community college courses in the five areas of the seven-course pattern are neither posted on the UCOP website nor included in the </w:t>
      </w:r>
      <w:r w:rsidR="00BB6364">
        <w:t>p</w:t>
      </w:r>
      <w:r w:rsidRPr="001A6DEA">
        <w:t>olicies of the University of California Academic Senate;</w:t>
      </w:r>
    </w:p>
    <w:p w14:paraId="4A412F8E" w14:textId="46CDD5A2" w:rsidR="00335308" w:rsidRPr="001A6DEA" w:rsidRDefault="00335308" w:rsidP="00335308">
      <w:r w:rsidRPr="001A6DEA">
        <w:t>Whereas, The process of reviewing and approving California community college courses for the University of California Transfer Eligibility “seven-course pattern” areas is conducted by course reviewers under the auspices of the University of California Office of the President during its annual University of California Transferable Course Agreement submission and review process</w:t>
      </w:r>
      <w:r w:rsidRPr="001A6DEA">
        <w:rPr>
          <w:vertAlign w:val="superscript"/>
        </w:rPr>
        <w:footnoteReference w:id="56"/>
      </w:r>
      <w:r w:rsidRPr="001A6DEA">
        <w:t>, a process that is completely separate from the current Intersegmental General Education Transfer Curriculum submission and review process;</w:t>
      </w:r>
    </w:p>
    <w:p w14:paraId="41CA33C0" w14:textId="3ABF9EF9" w:rsidR="00335308" w:rsidRPr="001A6DEA" w:rsidRDefault="00335308" w:rsidP="00335308">
      <w:r w:rsidRPr="001A6DEA">
        <w:t xml:space="preserve">Whereas, The courses approved for current Intersegmental General Education Transfer Curriculum areas, and also presumably the California General Education Transfer Curriculum </w:t>
      </w:r>
      <w:r w:rsidR="00DE59BE">
        <w:t xml:space="preserve"> </w:t>
      </w:r>
      <w:r w:rsidRPr="001A6DEA">
        <w:t>areas, do not automatically meet University of California transfer admission requirements unless they have been separately approved for University of California Transfer Eligibility “seven-course pattern” areas through the annual University of California Transferable Course Agreement submission and review process conducted by the University of California Office of the President; and</w:t>
      </w:r>
    </w:p>
    <w:p w14:paraId="05302C70" w14:textId="4DC151C4" w:rsidR="00335308" w:rsidRPr="001A6DEA" w:rsidRDefault="00335308" w:rsidP="00335308">
      <w:r w:rsidRPr="001A6DEA">
        <w:t xml:space="preserve">Whereas, Because coursework approved for the Intersegmental General Education Transfer Curriculum (IGETC) areas, and also presumably the California General Education Transfer Curriculum (Cal-GETC) areas, may not necessarily be approved for University of California </w:t>
      </w:r>
      <w:r w:rsidRPr="001A6DEA">
        <w:lastRenderedPageBreak/>
        <w:t>Transfer Eligibility “seven-course pattern” areas, students may not realize until it is too late that they have completed IGETC/Cal-GETC approved courses that are not part of the “seven-course pattern” areas and subsequently may be denied admission to the University of California for not meeting the basic requirement of completing the seven-course pattern;</w:t>
      </w:r>
    </w:p>
    <w:p w14:paraId="24257671" w14:textId="2250DCAE" w:rsidR="00335308" w:rsidRPr="001A6DEA" w:rsidRDefault="00335308" w:rsidP="00335308">
      <w:r w:rsidRPr="001A6DEA">
        <w:t>Resolved, That the Academic Senate for California Community Colleges urge the University of California Academic Senate and the University of California Office of the President to determine that California community college students who have completed coursework for either the Intersegmental General Education Transfer Curriculum pattern or the California General Education Transfer Curriculum pattern have thus completed the corresponding University of California Transfer Eligibility (UCTEL) (“seven-course pattern”) coursework requirements for admission to the University of California, regardless of the UCTEL area approval status of the courses completed by the student;</w:t>
      </w:r>
    </w:p>
    <w:p w14:paraId="4C3D97E7" w14:textId="2D5AFCF7" w:rsidR="00335308" w:rsidRPr="001A6DEA" w:rsidRDefault="00335308" w:rsidP="00335308">
      <w:r w:rsidRPr="001A6DEA">
        <w:t>Resolved, That the Academic Senate for California Community Colleges urge the University of California Academic Senate to recognize the California General Education Transfer Curriculum standards as equivalent to the standards of approval of California community college courses for the corresponding University of California Transfer Eligibility</w:t>
      </w:r>
      <w:r w:rsidR="003A72C4">
        <w:t xml:space="preserve"> </w:t>
      </w:r>
      <w:r w:rsidRPr="001A6DEA">
        <w:t>areas (the “seven-course pattern” areas); and</w:t>
      </w:r>
    </w:p>
    <w:p w14:paraId="71F9645D" w14:textId="533EF060" w:rsidR="00335308" w:rsidRPr="001A6DEA" w:rsidRDefault="00335308" w:rsidP="00335308">
      <w:r w:rsidRPr="001A6DEA">
        <w:t>Resolved, That the Academic Senate for California Community Colleges work with the University of California Academic Senate and the Intersegmental Committee of Academic Senates as soon as possible to advocate for the integration of the course approval standards and course submission and review processes for the University of California Transfer Eligibility areas (the “seven-course pattern” areas) into the course approval standards and course submission and review processes of the California General Education Transfer Curriculum (Cal-GETC) areas to guarantee that California community college students who complete the appropriate Cal-GETC-approved coursework automatically meet the University of California “seven-course pattern” transfer admission requirements.</w:t>
      </w:r>
    </w:p>
    <w:p w14:paraId="078C2FC3" w14:textId="592FA8B4" w:rsidR="00335308" w:rsidRDefault="005C1892" w:rsidP="00335308">
      <w:r>
        <w:t xml:space="preserve">Contact: </w:t>
      </w:r>
      <w:r w:rsidR="00335308" w:rsidRPr="001A6DEA">
        <w:t>John Freitas, Los Angeles City College, Area C</w:t>
      </w:r>
    </w:p>
    <w:p w14:paraId="2CAAA393" w14:textId="311A7438" w:rsidR="00D15058" w:rsidRDefault="00D15058" w:rsidP="00335308">
      <w:r>
        <w:t>MSC</w:t>
      </w:r>
    </w:p>
    <w:p w14:paraId="6587EA00" w14:textId="77777777" w:rsidR="00F14FD0" w:rsidRDefault="00F14FD0" w:rsidP="00335308"/>
    <w:p w14:paraId="74417BEE" w14:textId="4A5E32A2" w:rsidR="00DC6803" w:rsidRPr="00A2156E" w:rsidRDefault="00DC6803" w:rsidP="00DC6803">
      <w:pPr>
        <w:pStyle w:val="Heading2"/>
        <w:spacing w:after="240"/>
        <w:rPr>
          <w:lang w:val="en"/>
        </w:rPr>
      </w:pPr>
      <w:bookmarkStart w:id="30" w:name="_Toc165038239"/>
      <w:r w:rsidRPr="00A2156E">
        <w:rPr>
          <w:lang w:val="en"/>
        </w:rPr>
        <w:lastRenderedPageBreak/>
        <w:t>10</w:t>
      </w:r>
      <w:r>
        <w:rPr>
          <w:lang w:val="en"/>
        </w:rPr>
        <w:t>5</w:t>
      </w:r>
      <w:r w:rsidRPr="00A2156E">
        <w:rPr>
          <w:lang w:val="en"/>
        </w:rPr>
        <w:t>.0</w:t>
      </w:r>
      <w:r>
        <w:rPr>
          <w:lang w:val="en"/>
        </w:rPr>
        <w:t>2</w:t>
      </w:r>
      <w:r w:rsidRPr="00A2156E">
        <w:rPr>
          <w:lang w:val="en"/>
        </w:rPr>
        <w:t xml:space="preserve"> </w:t>
      </w:r>
      <w:r w:rsidR="00314E0A">
        <w:rPr>
          <w:lang w:val="en"/>
        </w:rPr>
        <w:t xml:space="preserve">S24 </w:t>
      </w:r>
      <w:r w:rsidRPr="00A2156E">
        <w:rPr>
          <w:lang w:val="en"/>
        </w:rPr>
        <w:t xml:space="preserve">Consult </w:t>
      </w:r>
      <w:r w:rsidR="00852CCB">
        <w:rPr>
          <w:lang w:val="en"/>
        </w:rPr>
        <w:t>w</w:t>
      </w:r>
      <w:r w:rsidRPr="00A2156E">
        <w:rPr>
          <w:lang w:val="en"/>
        </w:rPr>
        <w:t>ith the ASCCC on Student Success Metrics and Curricular Paths</w:t>
      </w:r>
      <w:bookmarkEnd w:id="30"/>
    </w:p>
    <w:p w14:paraId="0F3C4AC1" w14:textId="2F69CD29" w:rsidR="00DC6803" w:rsidRPr="00A2156E" w:rsidRDefault="00DC6803" w:rsidP="00DC6803">
      <w:r w:rsidRPr="00A2156E">
        <w:t>Whereas, The California Community Colleges Chancellor’s Office Memo ESLEI 24-15</w:t>
      </w:r>
      <w:r w:rsidRPr="00A2156E">
        <w:rPr>
          <w:vertAlign w:val="superscript"/>
        </w:rPr>
        <w:footnoteReference w:id="57"/>
      </w:r>
      <w:r w:rsidRPr="00A2156E">
        <w:t xml:space="preserve"> from February 27, 2024 was not co-signed by the Academic Senate for California Community Colleges;</w:t>
      </w:r>
    </w:p>
    <w:p w14:paraId="170C9A2B" w14:textId="08CE506B" w:rsidR="00DC6803" w:rsidRPr="00A2156E" w:rsidRDefault="00DC6803" w:rsidP="00DC6803">
      <w:r w:rsidRPr="00A2156E">
        <w:t>Whereas, The California Community Colleges Chancellor’s Office created guidelines</w:t>
      </w:r>
      <w:r w:rsidRPr="00A2156E">
        <w:rPr>
          <w:vertAlign w:val="superscript"/>
        </w:rPr>
        <w:footnoteReference w:id="58"/>
      </w:r>
      <w:r w:rsidRPr="00A2156E">
        <w:t xml:space="preserve"> that restrict the preparatory coursework students in the California community colleges may access in order to prepare for science, technology, engineering, and mathematics majors such that students may have more options for preparatory coursework within the California State University or University of California systems;</w:t>
      </w:r>
    </w:p>
    <w:p w14:paraId="5983251B" w14:textId="77777777" w:rsidR="00DC6803" w:rsidRPr="00A2156E" w:rsidRDefault="00DC6803" w:rsidP="00DC6803">
      <w:pPr>
        <w:rPr>
          <w:lang w:val="en"/>
        </w:rPr>
      </w:pPr>
      <w:r w:rsidRPr="00A2156E">
        <w:rPr>
          <w:lang w:val="en"/>
        </w:rPr>
        <w:t>Whereas, Community Colleges Chancellor’s Office Memo ESLEI 24-15 defines “highly unlikely to succeed” as a result of direct placement into STEM Calculus I regardless of a student’s prior math classes completed and time elapsed since their last math class as “less than 15% throughput,” and sets an operational definition of “highly unlikely to succeed” without a preparatory course or courses as less than 50% throughput in Calculus I within two years</w:t>
      </w:r>
      <w:r w:rsidRPr="00A2156E">
        <w:rPr>
          <w:vertAlign w:val="superscript"/>
          <w:lang w:val="en"/>
        </w:rPr>
        <w:footnoteReference w:id="59"/>
      </w:r>
      <w:r w:rsidRPr="00A2156E">
        <w:rPr>
          <w:lang w:val="en"/>
        </w:rPr>
        <w:t>; and</w:t>
      </w:r>
    </w:p>
    <w:p w14:paraId="17337393" w14:textId="5BEF1097" w:rsidR="00DC6803" w:rsidRPr="00A2156E" w:rsidRDefault="00DC6803" w:rsidP="00DC6803">
      <w:pPr>
        <w:rPr>
          <w:lang w:val="en"/>
        </w:rPr>
      </w:pPr>
      <w:r w:rsidRPr="00A2156E">
        <w:rPr>
          <w:lang w:val="en"/>
        </w:rPr>
        <w:t>Whereas, Developing and implementing standards or policies regarding student preparation and success is one of the academic and professional matters, or “10+1”</w:t>
      </w:r>
      <w:r w:rsidR="006C1E55">
        <w:rPr>
          <w:lang w:val="en"/>
        </w:rPr>
        <w:t>,</w:t>
      </w:r>
      <w:r w:rsidRPr="00A2156E">
        <w:rPr>
          <w:lang w:val="en"/>
        </w:rPr>
        <w:t xml:space="preserve"> in the California Code of Regulations Title 5 </w:t>
      </w:r>
      <w:r w:rsidR="00682A22">
        <w:rPr>
          <w:rFonts w:cstheme="minorHAnsi"/>
          <w:lang w:val="en"/>
        </w:rPr>
        <w:t>§</w:t>
      </w:r>
      <w:r w:rsidRPr="00A2156E">
        <w:rPr>
          <w:lang w:val="en"/>
        </w:rPr>
        <w:t>53200</w:t>
      </w:r>
      <w:r w:rsidRPr="00A2156E">
        <w:rPr>
          <w:vertAlign w:val="superscript"/>
        </w:rPr>
        <w:footnoteReference w:id="60"/>
      </w:r>
      <w:r w:rsidRPr="00A2156E">
        <w:rPr>
          <w:lang w:val="en"/>
        </w:rPr>
        <w:t>; and the Procedures and Standing Orders of the Board of Governors, December 2022 Edition, section 332</w:t>
      </w:r>
      <w:r w:rsidRPr="00A2156E">
        <w:rPr>
          <w:vertAlign w:val="superscript"/>
        </w:rPr>
        <w:footnoteReference w:id="61"/>
      </w:r>
      <w:r w:rsidRPr="00A2156E">
        <w:rPr>
          <w:lang w:val="en"/>
        </w:rPr>
        <w:t xml:space="preserve"> states that “Consistent with the intent of 53206 of title 5 of the California Code of Regulations, the Board of Governors recognizes the Academic Senate of the California Community Colleges as the representative of community college faculty on academic and professional matters” and “The Academic Senate, in conjunction with the Chancellor and designated staff, will initiate and/or respond to requests to develop policy on academic and professional matters. The identification of such matters will be made by the Chancellor, in consultation with the Consultation Council. Throughout the Consultation Process, the advice and judgment of the Academic Senate will be primarily relied upon whenever the policy involves an academic and professional matter. In providing this advice </w:t>
      </w:r>
      <w:r w:rsidRPr="00A2156E">
        <w:rPr>
          <w:lang w:val="en"/>
        </w:rPr>
        <w:lastRenderedPageBreak/>
        <w:t>and judgment, the Academic Senate is committed to engage and consider the views of participants in Consultation, the affected community college constituencies, the general public, and other comments and concerns the Chancellor is legally required to consider.”;</w:t>
      </w:r>
    </w:p>
    <w:p w14:paraId="2BE57E0F" w14:textId="77777777" w:rsidR="00DC6803" w:rsidRPr="00A2156E" w:rsidRDefault="00DC6803" w:rsidP="00DC6803">
      <w:pPr>
        <w:rPr>
          <w:lang w:val="en"/>
        </w:rPr>
      </w:pPr>
      <w:r w:rsidRPr="00A2156E">
        <w:rPr>
          <w:lang w:val="en"/>
        </w:rPr>
        <w:t>Resolved, That the Academic Senate for California Community Colleges (ASCCC) assert that methods, guidelines, and standards for determining student placement, access to course offerings, and measuring student success are academic and professional matters, and that the California Community Colleges Chancellor’s Office must rely primarily upon the advice and judgment of the ASCCC on these policy development and implementation matters for standards or policies regarding student preparation and success; and</w:t>
      </w:r>
    </w:p>
    <w:p w14:paraId="1E21CD02" w14:textId="77777777" w:rsidR="00DC6803" w:rsidRPr="00A2156E" w:rsidRDefault="00DC6803" w:rsidP="00DC6803">
      <w:pPr>
        <w:rPr>
          <w:lang w:val="en"/>
        </w:rPr>
      </w:pPr>
      <w:r w:rsidRPr="00A2156E">
        <w:rPr>
          <w:lang w:val="en"/>
        </w:rPr>
        <w:t>Resolved, That the Academic Senate for California Community Colleges work with the Chancellor of the California Community Colleges Chancellor’s Office to evaluate and reconsider the AB 1705 implementation mandates so that all students attending a California community college have access to the same preparatory science, technology, engineering, and mathematics (STEM) courses provided to students that start as freshmen at a California State University or University of California campus.</w:t>
      </w:r>
    </w:p>
    <w:p w14:paraId="11C28B1D" w14:textId="77777777" w:rsidR="00DC6803" w:rsidRDefault="00DC6803" w:rsidP="00DC6803">
      <w:pPr>
        <w:rPr>
          <w:lang w:val="en"/>
        </w:rPr>
      </w:pPr>
      <w:r w:rsidRPr="00A2156E">
        <w:rPr>
          <w:lang w:val="en"/>
        </w:rPr>
        <w:t>Contact: Eric Wada, ASCCC Executive Committee</w:t>
      </w:r>
    </w:p>
    <w:p w14:paraId="728D8BE8" w14:textId="65151C1D" w:rsidR="0025493C" w:rsidRPr="00A2156E" w:rsidRDefault="0025493C" w:rsidP="00DC6803">
      <w:pPr>
        <w:rPr>
          <w:lang w:val="en"/>
        </w:rPr>
      </w:pPr>
      <w:r>
        <w:rPr>
          <w:lang w:val="en"/>
        </w:rPr>
        <w:t>Acclamation</w:t>
      </w:r>
    </w:p>
    <w:p w14:paraId="7625FF4C" w14:textId="77777777" w:rsidR="004761F2" w:rsidRDefault="004761F2" w:rsidP="004761F2">
      <w:pPr>
        <w:rPr>
          <w:lang w:val="en"/>
        </w:rPr>
      </w:pPr>
    </w:p>
    <w:p w14:paraId="2ABFF6A1" w14:textId="0DB2DD04" w:rsidR="004761F2" w:rsidRPr="00492E4D" w:rsidRDefault="004761F2" w:rsidP="004761F2">
      <w:pPr>
        <w:pStyle w:val="Heading2"/>
        <w:spacing w:after="240"/>
      </w:pPr>
      <w:bookmarkStart w:id="31" w:name="_Toc165038240"/>
      <w:r w:rsidRPr="009A51D6">
        <w:t>105.0</w:t>
      </w:r>
      <w:r>
        <w:t>3</w:t>
      </w:r>
      <w:r w:rsidRPr="00492E4D">
        <w:t xml:space="preserve"> </w:t>
      </w:r>
      <w:r w:rsidR="00314E0A">
        <w:t xml:space="preserve">S24 </w:t>
      </w:r>
      <w:r w:rsidRPr="00492E4D">
        <w:t xml:space="preserve">Supporting Credit for Prior Learning (CPL) </w:t>
      </w:r>
      <w:r>
        <w:t>T</w:t>
      </w:r>
      <w:r w:rsidRPr="00492E4D">
        <w:t>hrough the California Mapping Articulated Pathways (MAP) Initiative</w:t>
      </w:r>
      <w:bookmarkEnd w:id="31"/>
    </w:p>
    <w:p w14:paraId="2165473F" w14:textId="3BBDD7B0" w:rsidR="004761F2" w:rsidRPr="00492E4D" w:rsidRDefault="004761F2" w:rsidP="004761F2">
      <w:r w:rsidRPr="00492E4D">
        <w:t xml:space="preserve">Whereas, The California </w:t>
      </w:r>
      <w:r>
        <w:t>Mapping Articulated Pathways</w:t>
      </w:r>
      <w:r w:rsidRPr="00492E4D">
        <w:t xml:space="preserve"> Initiative was initially developed in 2017 at Norco College to support </w:t>
      </w:r>
      <w:r>
        <w:t xml:space="preserve">credit for prior learning (CPL) </w:t>
      </w:r>
      <w:r w:rsidRPr="00492E4D">
        <w:t>for veterans, it has since expanded to include CPL for working adults as well, by allowing colleges to compare their courses to military courses, professional experience, and industry credentials to create equivalencies based on industry/faculty recommendations</w:t>
      </w:r>
      <w:r w:rsidRPr="00492E4D">
        <w:rPr>
          <w:vertAlign w:val="superscript"/>
        </w:rPr>
        <w:footnoteReference w:id="62"/>
      </w:r>
      <w:r>
        <w:t>;</w:t>
      </w:r>
    </w:p>
    <w:p w14:paraId="456AFDAC" w14:textId="0EFA0C36" w:rsidR="004761F2" w:rsidRPr="00492E4D" w:rsidRDefault="004761F2" w:rsidP="004761F2">
      <w:r w:rsidRPr="00492E4D">
        <w:t xml:space="preserve">Whereas, Currently, 76 of the 116 California community colleges participate in the </w:t>
      </w:r>
      <w:r>
        <w:t>Mapping Articulated Pathways</w:t>
      </w:r>
      <w:r w:rsidRPr="00492E4D">
        <w:t xml:space="preserve"> </w:t>
      </w:r>
      <w:r>
        <w:t>c</w:t>
      </w:r>
      <w:r w:rsidRPr="00492E4D">
        <w:t>ohort, a collection of institutions committed to awarding up to a full year of college credit in recognition of the mastery acquired through prior learning, training, and experience</w:t>
      </w:r>
      <w:r w:rsidRPr="00492E4D">
        <w:rPr>
          <w:vertAlign w:val="superscript"/>
        </w:rPr>
        <w:footnoteReference w:id="63"/>
      </w:r>
      <w:r w:rsidRPr="00492E4D">
        <w:t>; and  </w:t>
      </w:r>
    </w:p>
    <w:p w14:paraId="34929BC2" w14:textId="4B40396C" w:rsidR="004761F2" w:rsidRPr="00492E4D" w:rsidRDefault="004761F2" w:rsidP="004761F2">
      <w:r w:rsidRPr="00492E4D">
        <w:t xml:space="preserve">Whereas, </w:t>
      </w:r>
      <w:r>
        <w:t>T</w:t>
      </w:r>
      <w:r w:rsidRPr="00492E4D">
        <w:t>he A</w:t>
      </w:r>
      <w:r>
        <w:t>cademic Senate for California Community Colleges</w:t>
      </w:r>
      <w:r w:rsidRPr="00492E4D">
        <w:t xml:space="preserve"> has a long-standing position of supporting colleges in </w:t>
      </w:r>
      <w:r>
        <w:t>c</w:t>
      </w:r>
      <w:r w:rsidRPr="00492E4D">
        <w:t xml:space="preserve">redit for </w:t>
      </w:r>
      <w:r>
        <w:t>p</w:t>
      </w:r>
      <w:r w:rsidRPr="00492E4D">
        <w:t xml:space="preserve">rior </w:t>
      </w:r>
      <w:r>
        <w:t>l</w:t>
      </w:r>
      <w:r w:rsidRPr="00492E4D">
        <w:t>earning including resolutions such as 15.04 F23 Allowing the Use of Prior Learning on Cal</w:t>
      </w:r>
      <w:r w:rsidR="00903224">
        <w:t>-</w:t>
      </w:r>
      <w:r w:rsidRPr="00492E4D">
        <w:t>GETC</w:t>
      </w:r>
      <w:r w:rsidRPr="00492E4D">
        <w:rPr>
          <w:vertAlign w:val="superscript"/>
        </w:rPr>
        <w:footnoteReference w:id="64"/>
      </w:r>
      <w:r w:rsidRPr="00492E4D">
        <w:t xml:space="preserve">, 07.04 S23 Review of Credit for Prior Learning </w:t>
      </w:r>
      <w:r w:rsidRPr="00492E4D">
        <w:lastRenderedPageBreak/>
        <w:t>Regulations</w:t>
      </w:r>
      <w:r w:rsidRPr="00492E4D">
        <w:rPr>
          <w:vertAlign w:val="superscript"/>
        </w:rPr>
        <w:footnoteReference w:id="65"/>
      </w:r>
      <w:r w:rsidRPr="00492E4D">
        <w:t>, 07.02 S16 Awarding Credit for Prior Learning Experience</w:t>
      </w:r>
      <w:r w:rsidRPr="00492E4D">
        <w:rPr>
          <w:vertAlign w:val="superscript"/>
        </w:rPr>
        <w:footnoteReference w:id="66"/>
      </w:r>
      <w:r w:rsidRPr="00492E4D">
        <w:t xml:space="preserve"> and 18.04 S11 Academic Credit for Veterans and Military Service Members</w:t>
      </w:r>
      <w:r w:rsidRPr="00492E4D">
        <w:rPr>
          <w:vertAlign w:val="superscript"/>
        </w:rPr>
        <w:footnoteReference w:id="67"/>
      </w:r>
      <w:r w:rsidRPr="00492E4D">
        <w:t>;</w:t>
      </w:r>
    </w:p>
    <w:p w14:paraId="776E2702" w14:textId="6F58F53D" w:rsidR="004761F2" w:rsidRPr="00492E4D" w:rsidRDefault="004761F2" w:rsidP="004761F2">
      <w:r w:rsidRPr="00492E4D">
        <w:t xml:space="preserve">Resolved, That the Academic Senate for California Community Colleges work with the California Community Colleges Chancellors Office to expand collaboration and cooperation of colleges on </w:t>
      </w:r>
      <w:r>
        <w:t>c</w:t>
      </w:r>
      <w:r w:rsidRPr="00492E4D">
        <w:t xml:space="preserve">redit for </w:t>
      </w:r>
      <w:r>
        <w:t>p</w:t>
      </w:r>
      <w:r w:rsidRPr="00492E4D">
        <w:t xml:space="preserve">rior </w:t>
      </w:r>
      <w:r>
        <w:t>l</w:t>
      </w:r>
      <w:r w:rsidRPr="00492E4D">
        <w:t xml:space="preserve">earning </w:t>
      </w:r>
      <w:r>
        <w:t xml:space="preserve">(CPL) </w:t>
      </w:r>
      <w:r w:rsidRPr="00492E4D">
        <w:t xml:space="preserve">through the California </w:t>
      </w:r>
      <w:r>
        <w:t>Mapping Articulated Pathways</w:t>
      </w:r>
      <w:r w:rsidRPr="00492E4D">
        <w:t xml:space="preserve"> </w:t>
      </w:r>
      <w:r>
        <w:t>(</w:t>
      </w:r>
      <w:r w:rsidRPr="00492E4D">
        <w:t>MAP</w:t>
      </w:r>
      <w:r>
        <w:t>)</w:t>
      </w:r>
      <w:r w:rsidRPr="00492E4D">
        <w:t xml:space="preserve"> Initiative making MAP a central repository for all approved CPL articulations, exhibits, and student CPL outcomes; </w:t>
      </w:r>
    </w:p>
    <w:p w14:paraId="57DB6725" w14:textId="3D1C84A4" w:rsidR="004761F2" w:rsidRDefault="004761F2" w:rsidP="004761F2">
      <w:r w:rsidRPr="00492E4D">
        <w:t>Resolved</w:t>
      </w:r>
      <w:r w:rsidR="00623DE7">
        <w:t>,</w:t>
      </w:r>
      <w:r w:rsidRPr="00492E4D">
        <w:t xml:space="preserve"> </w:t>
      </w:r>
      <w:r w:rsidR="00C004BA">
        <w:t xml:space="preserve">That </w:t>
      </w:r>
      <w:r w:rsidR="00623DE7">
        <w:t>the</w:t>
      </w:r>
      <w:r w:rsidRPr="00492E4D">
        <w:t xml:space="preserve"> Academic Senate for California Community Colleges encourage subject matter expert faculty across colleges and disciplines to work together to provide reviews and recommendations on </w:t>
      </w:r>
      <w:r>
        <w:t>credit for prior learning</w:t>
      </w:r>
      <w:r w:rsidRPr="00492E4D">
        <w:t xml:space="preserve"> for statewide consideration and adoption at local colleges; </w:t>
      </w:r>
    </w:p>
    <w:p w14:paraId="74641412" w14:textId="1E207564" w:rsidR="00CE0EF3" w:rsidRDefault="00CE0EF3" w:rsidP="00CE0EF3">
      <w:pPr>
        <w:pStyle w:val="paragraph"/>
        <w:spacing w:before="0" w:beforeAutospacing="0" w:after="0" w:afterAutospacing="0"/>
        <w:textAlignment w:val="baseline"/>
        <w:rPr>
          <w:rStyle w:val="eop"/>
          <w:rFonts w:asciiTheme="minorHAnsi" w:hAnsiTheme="minorHAnsi" w:cstheme="minorHAnsi"/>
        </w:rPr>
      </w:pPr>
      <w:r w:rsidRPr="00DB108C">
        <w:rPr>
          <w:rStyle w:val="normaltextrun"/>
          <w:rFonts w:asciiTheme="minorHAnsi" w:hAnsiTheme="minorHAnsi" w:cstheme="minorHAnsi"/>
        </w:rPr>
        <w:t xml:space="preserve">Resolved, That the Academic Senate for California Community Colleges encourage colleges currently awarding nontransferable large-unit course credit for training and academies leading to certification to </w:t>
      </w:r>
      <w:r w:rsidRPr="00CE0EF3">
        <w:rPr>
          <w:rStyle w:val="normaltextrun"/>
          <w:rFonts w:asciiTheme="minorHAnsi" w:hAnsiTheme="minorHAnsi" w:cstheme="minorHAnsi"/>
        </w:rPr>
        <w:t>explore and consider the potential benefits and adverse consequences to students of awarding</w:t>
      </w:r>
      <w:r w:rsidR="00B7679D">
        <w:rPr>
          <w:rStyle w:val="normaltextrun"/>
          <w:rFonts w:asciiTheme="minorHAnsi" w:hAnsiTheme="minorHAnsi" w:cstheme="minorHAnsi"/>
        </w:rPr>
        <w:t xml:space="preserve"> </w:t>
      </w:r>
      <w:r w:rsidRPr="00DB108C">
        <w:rPr>
          <w:rStyle w:val="normaltextrun"/>
          <w:rFonts w:asciiTheme="minorHAnsi" w:hAnsiTheme="minorHAnsi" w:cstheme="minorHAnsi"/>
        </w:rPr>
        <w:t xml:space="preserve">transferrable course credit </w:t>
      </w:r>
      <w:r w:rsidRPr="00CE0EF3">
        <w:rPr>
          <w:rStyle w:val="normaltextrun"/>
          <w:rFonts w:asciiTheme="minorHAnsi" w:hAnsiTheme="minorHAnsi" w:cstheme="minorHAnsi"/>
        </w:rPr>
        <w:t>through credit for</w:t>
      </w:r>
      <w:r w:rsidRPr="00DB108C">
        <w:rPr>
          <w:rStyle w:val="normaltextrun"/>
          <w:rFonts w:asciiTheme="minorHAnsi" w:hAnsiTheme="minorHAnsi" w:cstheme="minorHAnsi"/>
        </w:rPr>
        <w:t xml:space="preserve"> prior learning when the knowledge and competencies demonstrated by the certification are aligned with transferable course objectives and learning outcomes; and </w:t>
      </w:r>
    </w:p>
    <w:p w14:paraId="081A3C58" w14:textId="77777777" w:rsidR="00CE0EF3" w:rsidRPr="00DB108C" w:rsidRDefault="00CE0EF3" w:rsidP="00CE0EF3">
      <w:pPr>
        <w:pStyle w:val="paragraph"/>
        <w:spacing w:before="0" w:beforeAutospacing="0" w:after="0" w:afterAutospacing="0"/>
        <w:textAlignment w:val="baseline"/>
        <w:rPr>
          <w:rFonts w:asciiTheme="minorHAnsi" w:hAnsiTheme="minorHAnsi" w:cstheme="minorHAnsi"/>
        </w:rPr>
      </w:pPr>
    </w:p>
    <w:p w14:paraId="7BA8A51A" w14:textId="14A9FF5A" w:rsidR="004761F2" w:rsidRPr="00492E4D" w:rsidRDefault="004761F2" w:rsidP="004761F2">
      <w:r w:rsidRPr="00492E4D">
        <w:t xml:space="preserve">Resolved, That the Academic Senate for California Community </w:t>
      </w:r>
      <w:r>
        <w:t>C</w:t>
      </w:r>
      <w:r w:rsidRPr="00492E4D">
        <w:t xml:space="preserve">olleges work with the California </w:t>
      </w:r>
      <w:r>
        <w:t>Mapping Articulated Pathways</w:t>
      </w:r>
      <w:r w:rsidRPr="00492E4D">
        <w:t xml:space="preserve"> Initiative to support local academic senates and faculty with professional development support to expand </w:t>
      </w:r>
      <w:r>
        <w:t>c</w:t>
      </w:r>
      <w:r w:rsidRPr="00492E4D">
        <w:t xml:space="preserve">redit for </w:t>
      </w:r>
      <w:r>
        <w:t>p</w:t>
      </w:r>
      <w:r w:rsidRPr="00492E4D">
        <w:t xml:space="preserve">rior </w:t>
      </w:r>
      <w:r>
        <w:t>l</w:t>
      </w:r>
      <w:r w:rsidRPr="00492E4D">
        <w:t>earning opportunities for their student</w:t>
      </w:r>
      <w:r>
        <w:t>s</w:t>
      </w:r>
      <w:r w:rsidRPr="00492E4D">
        <w:t xml:space="preserve"> on their campuses and statewide.  </w:t>
      </w:r>
    </w:p>
    <w:p w14:paraId="0FD2BFB9" w14:textId="3410CC5D" w:rsidR="004761F2" w:rsidRDefault="004761F2" w:rsidP="004761F2">
      <w:r w:rsidRPr="00492E4D">
        <w:t>Contact: Sigrid Williams, Norco College</w:t>
      </w:r>
    </w:p>
    <w:p w14:paraId="6693BE8D" w14:textId="7BB39303" w:rsidR="00AB197A" w:rsidRPr="00492E4D" w:rsidRDefault="00AB197A" w:rsidP="004761F2">
      <w:r>
        <w:t>MSC</w:t>
      </w:r>
    </w:p>
    <w:p w14:paraId="6186827C" w14:textId="77777777" w:rsidR="00FA18B4" w:rsidRDefault="00FA18B4" w:rsidP="00335308"/>
    <w:p w14:paraId="5972C961" w14:textId="77777777" w:rsidR="008A292A" w:rsidRDefault="008A292A" w:rsidP="00335308"/>
    <w:p w14:paraId="12F12098" w14:textId="132CDD31" w:rsidR="00DC3E70" w:rsidRDefault="00007E3C" w:rsidP="00DC3E70">
      <w:pPr>
        <w:pStyle w:val="Heading1"/>
      </w:pPr>
      <w:bookmarkStart w:id="32" w:name="_Toc165038241"/>
      <w:r>
        <w:t xml:space="preserve">107 </w:t>
      </w:r>
      <w:r w:rsidR="00DC3E70">
        <w:t>ACCREDITATION</w:t>
      </w:r>
      <w:bookmarkEnd w:id="32"/>
    </w:p>
    <w:p w14:paraId="72C708B7" w14:textId="5D1B7709" w:rsidR="00DC3E70" w:rsidRPr="00DC3E70" w:rsidRDefault="00DC3E70" w:rsidP="00DC3E70"/>
    <w:p w14:paraId="0AF6056D" w14:textId="26DEBF50" w:rsidR="00DC3E70" w:rsidRPr="00F678D3" w:rsidRDefault="00DC3E70" w:rsidP="00DC3E70">
      <w:pPr>
        <w:pStyle w:val="Heading2"/>
        <w:spacing w:after="240"/>
      </w:pPr>
      <w:bookmarkStart w:id="33" w:name="_Toc165038242"/>
      <w:r w:rsidRPr="00F678D3">
        <w:t>10</w:t>
      </w:r>
      <w:r>
        <w:t>7</w:t>
      </w:r>
      <w:r w:rsidRPr="00F678D3">
        <w:t>.0</w:t>
      </w:r>
      <w:r>
        <w:t>1</w:t>
      </w:r>
      <w:r w:rsidRPr="00F678D3">
        <w:t xml:space="preserve"> </w:t>
      </w:r>
      <w:r w:rsidR="00314E0A">
        <w:t xml:space="preserve">S24 </w:t>
      </w:r>
      <w:r w:rsidRPr="00F678D3">
        <w:t>Supporting Regular and Substantive Interaction as an Academic and Profession</w:t>
      </w:r>
      <w:r>
        <w:t>al</w:t>
      </w:r>
      <w:r w:rsidRPr="00F678D3">
        <w:t xml:space="preserve"> Matter to Enhance Student Success and Meet Standards</w:t>
      </w:r>
      <w:bookmarkEnd w:id="33"/>
      <w:r w:rsidRPr="00F678D3">
        <w:t xml:space="preserve"> </w:t>
      </w:r>
    </w:p>
    <w:p w14:paraId="1B3ACD57" w14:textId="176F2E86" w:rsidR="00DC3E70" w:rsidRPr="00F678D3" w:rsidRDefault="00DC3E70" w:rsidP="00DC3E70">
      <w:r w:rsidRPr="00F678D3">
        <w:t xml:space="preserve">Whereas, While the California Community Colleges system has transformed in the post-pandemic era with the rise of distance education becoming a significant modality of </w:t>
      </w:r>
      <w:r w:rsidRPr="00F678D3">
        <w:lastRenderedPageBreak/>
        <w:t>instruction</w:t>
      </w:r>
      <w:r w:rsidRPr="00F678D3">
        <w:rPr>
          <w:vertAlign w:val="superscript"/>
        </w:rPr>
        <w:footnoteReference w:id="68"/>
      </w:r>
      <w:r w:rsidRPr="00F678D3">
        <w:t xml:space="preserve">, for some colleges half or more of their courses are offered online, and as the system looks to the future </w:t>
      </w:r>
      <w:r w:rsidR="006344C0">
        <w:t xml:space="preserve">to </w:t>
      </w:r>
      <w:r w:rsidRPr="00F678D3">
        <w:t xml:space="preserve">answer </w:t>
      </w:r>
      <w:r w:rsidR="007654F9">
        <w:t xml:space="preserve">the </w:t>
      </w:r>
      <w:r w:rsidRPr="00F678D3">
        <w:t xml:space="preserve">Chancellor’s call in </w:t>
      </w:r>
      <w:r w:rsidRPr="00F678D3">
        <w:rPr>
          <w:i/>
          <w:iCs/>
        </w:rPr>
        <w:t xml:space="preserve">Vision 2030 </w:t>
      </w:r>
      <w:r w:rsidRPr="00F678D3">
        <w:t>to bring “instruction through flexible modalities, like short term and online classes, for all students,” this trend is likely to continue;</w:t>
      </w:r>
    </w:p>
    <w:p w14:paraId="39E4328F" w14:textId="77777777" w:rsidR="00DC3E70" w:rsidRPr="00F678D3" w:rsidRDefault="00DC3E70" w:rsidP="00DC3E70">
      <w:r w:rsidRPr="00F678D3">
        <w:t>Whereas, “Distance education,” meaning instruction in which the instructor and student are separated by time and/or distance and interact through the assistance of technology to instruct students with regular and substantive interaction either synchronously or asynchronously, is highly regulated by both federal</w:t>
      </w:r>
      <w:r w:rsidRPr="00F678D3">
        <w:rPr>
          <w:vertAlign w:val="superscript"/>
        </w:rPr>
        <w:footnoteReference w:id="69"/>
      </w:r>
      <w:r w:rsidRPr="00F678D3">
        <w:rPr>
          <w:vertAlign w:val="superscript"/>
        </w:rPr>
        <w:t xml:space="preserve"> </w:t>
      </w:r>
      <w:r w:rsidRPr="00F678D3">
        <w:t>and state</w:t>
      </w:r>
      <w:r w:rsidRPr="00F678D3">
        <w:rPr>
          <w:vertAlign w:val="superscript"/>
        </w:rPr>
        <w:footnoteReference w:id="70"/>
      </w:r>
      <w:r w:rsidRPr="00F678D3">
        <w:t xml:space="preserve"> entities, and the Accrediting Commission of Community and Junior Colleges follows federal guidelines;</w:t>
      </w:r>
    </w:p>
    <w:p w14:paraId="02747B62" w14:textId="732FEECE" w:rsidR="00DC3E70" w:rsidRPr="00F678D3" w:rsidRDefault="00DC3E70" w:rsidP="00DC3E70">
      <w:r w:rsidRPr="00F678D3">
        <w:t xml:space="preserve">Whereas, </w:t>
      </w:r>
      <w:r>
        <w:t>Given t</w:t>
      </w:r>
      <w:r w:rsidRPr="00F678D3">
        <w:t xml:space="preserve">he Academic Senate for California Community Colleges’ </w:t>
      </w:r>
      <w:r>
        <w:t>academic and professional matters</w:t>
      </w:r>
      <w:r w:rsidRPr="00F678D3">
        <w:rPr>
          <w:vertAlign w:val="superscript"/>
        </w:rPr>
        <w:footnoteReference w:id="71"/>
      </w:r>
      <w:r w:rsidRPr="00F678D3">
        <w:t xml:space="preserve"> purview as established by Title 5 §53200</w:t>
      </w:r>
      <w:r w:rsidR="00ED46B2">
        <w:t>(b)</w:t>
      </w:r>
      <w:r>
        <w:rPr>
          <w:rStyle w:val="FootnoteReference"/>
        </w:rPr>
        <w:footnoteReference w:id="72"/>
      </w:r>
      <w:r>
        <w:t>,</w:t>
      </w:r>
      <w:r w:rsidRPr="00F678D3">
        <w:t xml:space="preserve"> the matter of regular and substantive interaction is clearly an academic and professional matter tha</w:t>
      </w:r>
      <w:r>
        <w:t>t</w:t>
      </w:r>
      <w:r w:rsidRPr="00F678D3">
        <w:t xml:space="preserve"> should be led by faculty expertise as it minimally falls directly within areas 1. </w:t>
      </w:r>
      <w:r w:rsidR="00233F79">
        <w:t>c</w:t>
      </w:r>
      <w:r w:rsidRPr="00F678D3">
        <w:t xml:space="preserve">urriculum including establishing prerequisites and placing courses within disciplines, 5. </w:t>
      </w:r>
      <w:r w:rsidR="00233F79">
        <w:t>s</w:t>
      </w:r>
      <w:r w:rsidRPr="00F678D3">
        <w:t xml:space="preserve">tandards or policies regarding student preparation and success, and 7. </w:t>
      </w:r>
      <w:r w:rsidR="00233F79">
        <w:t>f</w:t>
      </w:r>
      <w:r w:rsidRPr="00F678D3">
        <w:t>aculty roles and involvement in accreditation processes, including self-study and annual reports; and</w:t>
      </w:r>
    </w:p>
    <w:p w14:paraId="49AE1380" w14:textId="64EA0557" w:rsidR="00DC3E70" w:rsidRPr="00F678D3" w:rsidRDefault="00DC3E70" w:rsidP="00DC3E70">
      <w:r w:rsidRPr="00F678D3">
        <w:t xml:space="preserve">Whereas, The Academic Senate for California Community Colleges’ 2023 adopted paper </w:t>
      </w:r>
      <w:r w:rsidRPr="00C624BA">
        <w:rPr>
          <w:i/>
          <w:iCs/>
        </w:rPr>
        <w:t>Effective and Equitable Online Education: A Faculty Perspective</w:t>
      </w:r>
      <w:r w:rsidRPr="00F678D3">
        <w:t xml:space="preserve"> states that “colleges and districts must have both a clear definition of regular</w:t>
      </w:r>
      <w:r w:rsidR="00E25CDE">
        <w:t xml:space="preserve"> and</w:t>
      </w:r>
      <w:r w:rsidRPr="00F678D3">
        <w:t xml:space="preserve"> substantive interaction (RSI) that aligns with the </w:t>
      </w:r>
      <w:r w:rsidRPr="00F678D3">
        <w:lastRenderedPageBreak/>
        <w:t>federal, state, and ACCJC definitions as well as a rubric in place to assess how and where that contact is designed to take place in a course taught online”;</w:t>
      </w:r>
    </w:p>
    <w:p w14:paraId="441BDCBC" w14:textId="509F0E78" w:rsidR="00A11252" w:rsidRPr="004606D9" w:rsidRDefault="00A11252" w:rsidP="00A11252">
      <w:pPr>
        <w:pStyle w:val="paragraph"/>
        <w:spacing w:before="0" w:beforeAutospacing="0" w:after="0" w:afterAutospacing="0"/>
        <w:textAlignment w:val="baseline"/>
        <w:rPr>
          <w:rStyle w:val="eop"/>
          <w:rFonts w:asciiTheme="minorHAnsi" w:hAnsiTheme="minorHAnsi" w:cstheme="minorHAnsi"/>
          <w:color w:val="000000"/>
        </w:rPr>
      </w:pPr>
      <w:r w:rsidRPr="004606D9">
        <w:rPr>
          <w:rStyle w:val="normaltextrun"/>
          <w:rFonts w:asciiTheme="minorHAnsi" w:hAnsiTheme="minorHAnsi" w:cstheme="minorHAnsi"/>
        </w:rPr>
        <w:t>Resolved, That the Academic Senate for California Community College</w:t>
      </w:r>
      <w:r w:rsidR="00F06F3A">
        <w:rPr>
          <w:rStyle w:val="normaltextrun"/>
          <w:rFonts w:asciiTheme="minorHAnsi" w:hAnsiTheme="minorHAnsi" w:cstheme="minorHAnsi"/>
        </w:rPr>
        <w:t>s w</w:t>
      </w:r>
      <w:r w:rsidRPr="004606D9">
        <w:rPr>
          <w:rStyle w:val="normaltextrun"/>
          <w:rFonts w:asciiTheme="minorHAnsi" w:hAnsiTheme="minorHAnsi" w:cstheme="minorHAnsi"/>
          <w:color w:val="000000"/>
        </w:rPr>
        <w:t>ork collaboratively with faculty distance education experts and groups such as the</w:t>
      </w:r>
      <w:r w:rsidR="006344C0">
        <w:rPr>
          <w:rStyle w:val="normaltextrun"/>
          <w:rFonts w:asciiTheme="minorHAnsi" w:hAnsiTheme="minorHAnsi" w:cstheme="minorHAnsi"/>
          <w:color w:val="000000"/>
        </w:rPr>
        <w:t xml:space="preserve"> </w:t>
      </w:r>
      <w:r w:rsidRPr="004606D9">
        <w:rPr>
          <w:rStyle w:val="normaltextrun"/>
          <w:rFonts w:asciiTheme="minorHAnsi" w:hAnsiTheme="minorHAnsi" w:cstheme="minorHAnsi"/>
          <w:color w:val="000000"/>
        </w:rPr>
        <w:t xml:space="preserve">California Virtual Campus Online Education Initiative, the California Community College Accessibility Center, and California Community College Distance Education Coordinators' Organization to create a guide of exemplary </w:t>
      </w:r>
      <w:r w:rsidR="00537632">
        <w:rPr>
          <w:rStyle w:val="normaltextrun"/>
          <w:rFonts w:asciiTheme="minorHAnsi" w:hAnsiTheme="minorHAnsi" w:cstheme="minorHAnsi"/>
          <w:color w:val="000000"/>
        </w:rPr>
        <w:t>r</w:t>
      </w:r>
      <w:r w:rsidRPr="004606D9">
        <w:rPr>
          <w:rStyle w:val="normaltextrun"/>
          <w:rFonts w:asciiTheme="minorHAnsi" w:hAnsiTheme="minorHAnsi" w:cstheme="minorHAnsi"/>
          <w:color w:val="000000"/>
        </w:rPr>
        <w:t xml:space="preserve">egular and </w:t>
      </w:r>
      <w:r w:rsidR="00537632">
        <w:rPr>
          <w:rStyle w:val="normaltextrun"/>
          <w:rFonts w:asciiTheme="minorHAnsi" w:hAnsiTheme="minorHAnsi" w:cstheme="minorHAnsi"/>
          <w:color w:val="000000"/>
        </w:rPr>
        <w:t>s</w:t>
      </w:r>
      <w:r w:rsidRPr="004606D9">
        <w:rPr>
          <w:rStyle w:val="normaltextrun"/>
          <w:rFonts w:asciiTheme="minorHAnsi" w:hAnsiTheme="minorHAnsi" w:cstheme="minorHAnsi"/>
          <w:color w:val="000000"/>
        </w:rPr>
        <w:t xml:space="preserve">ubstantive </w:t>
      </w:r>
      <w:r w:rsidR="00537632">
        <w:rPr>
          <w:rStyle w:val="normaltextrun"/>
          <w:rFonts w:asciiTheme="minorHAnsi" w:hAnsiTheme="minorHAnsi" w:cstheme="minorHAnsi"/>
          <w:color w:val="000000"/>
        </w:rPr>
        <w:t>i</w:t>
      </w:r>
      <w:r w:rsidRPr="004606D9">
        <w:rPr>
          <w:rStyle w:val="normaltextrun"/>
          <w:rFonts w:asciiTheme="minorHAnsi" w:hAnsiTheme="minorHAnsi" w:cstheme="minorHAnsi"/>
          <w:color w:val="000000"/>
        </w:rPr>
        <w:t>nteraction practices, peer to peer evaluation standards, and a model self-assessment rubric to be shared by Spring 2025.</w:t>
      </w:r>
      <w:r w:rsidRPr="004606D9">
        <w:rPr>
          <w:rStyle w:val="eop"/>
          <w:rFonts w:asciiTheme="minorHAnsi" w:hAnsiTheme="minorHAnsi" w:cstheme="minorHAnsi"/>
          <w:color w:val="000000"/>
        </w:rPr>
        <w:t> </w:t>
      </w:r>
    </w:p>
    <w:p w14:paraId="78C18A4D" w14:textId="77777777" w:rsidR="004606D9" w:rsidRPr="00E26A50" w:rsidRDefault="004606D9" w:rsidP="00A11252">
      <w:pPr>
        <w:pStyle w:val="paragraph"/>
        <w:spacing w:before="0" w:beforeAutospacing="0" w:after="0" w:afterAutospacing="0"/>
        <w:textAlignment w:val="baseline"/>
        <w:rPr>
          <w:rFonts w:asciiTheme="minorHAnsi" w:hAnsiTheme="minorHAnsi" w:cstheme="minorHAnsi"/>
          <w:sz w:val="18"/>
          <w:szCs w:val="18"/>
        </w:rPr>
      </w:pPr>
    </w:p>
    <w:p w14:paraId="42FF7581" w14:textId="1063A836" w:rsidR="00DC3E70" w:rsidRDefault="00DC3E70" w:rsidP="00DC3E70">
      <w:r w:rsidRPr="00F678D3">
        <w:t>Contact: Kelly Rivera, Mt San Antonio College</w:t>
      </w:r>
    </w:p>
    <w:p w14:paraId="5331D86E" w14:textId="53E9AB82" w:rsidR="00A11252" w:rsidRDefault="00A11252" w:rsidP="00DC3E70">
      <w:r>
        <w:t>MSU</w:t>
      </w:r>
    </w:p>
    <w:p w14:paraId="632C1718" w14:textId="77777777" w:rsidR="00BB526F" w:rsidRDefault="00BB526F" w:rsidP="00DC3E70"/>
    <w:p w14:paraId="49FEDF39" w14:textId="1515F2F6" w:rsidR="001A6DEA" w:rsidRDefault="001A6DEA" w:rsidP="001A6DEA">
      <w:pPr>
        <w:pStyle w:val="Heading1"/>
      </w:pPr>
      <w:bookmarkStart w:id="34" w:name="_Toc162362527"/>
      <w:bookmarkStart w:id="35" w:name="_Toc165038243"/>
      <w:r w:rsidRPr="001A6DEA">
        <w:t xml:space="preserve">111 </w:t>
      </w:r>
      <w:bookmarkEnd w:id="34"/>
      <w:r w:rsidR="00FF14AB">
        <w:t>ACADEMIC SENATE FOR CALIFORNIA COMMUNITY COLLEGES</w:t>
      </w:r>
      <w:bookmarkEnd w:id="35"/>
    </w:p>
    <w:p w14:paraId="66EAE600" w14:textId="77777777" w:rsidR="001A6DEA" w:rsidRPr="001A6DEA" w:rsidRDefault="001A6DEA" w:rsidP="001A6DEA"/>
    <w:p w14:paraId="51C673FC" w14:textId="23D98139" w:rsidR="001A6DEA" w:rsidRPr="001A6DEA" w:rsidRDefault="001A6DEA" w:rsidP="00FC653A">
      <w:pPr>
        <w:pStyle w:val="Heading2"/>
        <w:spacing w:after="240"/>
        <w:rPr>
          <w:lang w:val="en"/>
        </w:rPr>
      </w:pPr>
      <w:bookmarkStart w:id="36" w:name="_Toc162362528"/>
      <w:bookmarkStart w:id="37" w:name="_Toc165038244"/>
      <w:r w:rsidRPr="001A6DEA">
        <w:rPr>
          <w:lang w:val="en"/>
        </w:rPr>
        <w:t xml:space="preserve">111.01 S24 Adopt the Paper </w:t>
      </w:r>
      <w:r w:rsidRPr="001A101E">
        <w:rPr>
          <w:i/>
          <w:iCs/>
          <w:lang w:val="en"/>
        </w:rPr>
        <w:t>Part-time Faculty: Equity, Rights, and Roles in Governance</w:t>
      </w:r>
      <w:bookmarkEnd w:id="36"/>
      <w:bookmarkEnd w:id="37"/>
      <w:r w:rsidRPr="001A6DEA">
        <w:rPr>
          <w:lang w:val="en"/>
        </w:rPr>
        <w:t xml:space="preserve"> </w:t>
      </w:r>
    </w:p>
    <w:p w14:paraId="455C6210" w14:textId="77777777" w:rsidR="001A6DEA" w:rsidRPr="001A6DEA" w:rsidRDefault="001A6DEA" w:rsidP="001A6DEA">
      <w:r w:rsidRPr="001A6DEA">
        <w:t>Whereas, In Spring 2021, the Academic Senate for California Community Colleges adopted resolution 19.01 S21 Create a Paper on Part-Time Faculty Equity</w:t>
      </w:r>
      <w:r w:rsidRPr="001A6DEA">
        <w:rPr>
          <w:vertAlign w:val="superscript"/>
        </w:rPr>
        <w:footnoteReference w:id="73"/>
      </w:r>
      <w:r w:rsidRPr="001A6DEA">
        <w:t>, which recognized the need to address the inequitable treatment of part-time faculty in the workplace across the full range of academic and professional matters and the consistent challenges faced by them in California community colleges; and</w:t>
      </w:r>
    </w:p>
    <w:p w14:paraId="042ADFA6" w14:textId="77777777" w:rsidR="001A6DEA" w:rsidRPr="001A6DEA" w:rsidRDefault="001A6DEA" w:rsidP="001A6DEA">
      <w:r w:rsidRPr="001A6DEA">
        <w:t>Whereas, Part-time faculty have contributed their lived experiences and expertise both through participation on the 2021-2022, 2022-2023, and 2023-2024 ASCCC Part-Time Faculty Committees and a statewide survey;</w:t>
      </w:r>
    </w:p>
    <w:p w14:paraId="7BD2A2FE" w14:textId="0DF5CBB9" w:rsidR="001A6DEA" w:rsidRPr="001C5635" w:rsidRDefault="001A6DEA" w:rsidP="001A6DEA">
      <w:r w:rsidRPr="001A6DEA">
        <w:t xml:space="preserve">Resolved, That the Academic Senate for California Community Colleges adopt the paper titled </w:t>
      </w:r>
      <w:r w:rsidRPr="001A6DEA">
        <w:rPr>
          <w:i/>
          <w:iCs/>
        </w:rPr>
        <w:t>Part-time Faculty: Equity, Rights, and Roles in Governance</w:t>
      </w:r>
      <w:r w:rsidRPr="001A6DEA">
        <w:rPr>
          <w:i/>
          <w:iCs/>
          <w:vertAlign w:val="superscript"/>
        </w:rPr>
        <w:footnoteReference w:id="74"/>
      </w:r>
      <w:r w:rsidRPr="001A6DEA">
        <w:t> and disseminate the paper to local academic senates upon its adoption</w:t>
      </w:r>
      <w:r w:rsidR="001C5635" w:rsidRPr="001C5635">
        <w:rPr>
          <w:rStyle w:val="normaltextrun"/>
          <w:rFonts w:cstheme="minorHAnsi"/>
          <w:color w:val="000000"/>
        </w:rPr>
        <w:t>, and actively encourage local senates to work collaboratively with their college and other partners to support the needs of part-time faculty, as outlined in this paper.</w:t>
      </w:r>
    </w:p>
    <w:p w14:paraId="3E8AA1FE" w14:textId="496A4B3B" w:rsidR="00FE1A65" w:rsidRDefault="001A6DEA" w:rsidP="001A6DEA">
      <w:r w:rsidRPr="001A6DEA">
        <w:t>Contact: María-José Zeledón-Pérez, ASCCC Executive Committee, ASCCC Part-Time Faculty Committee</w:t>
      </w:r>
    </w:p>
    <w:p w14:paraId="05DA08C3" w14:textId="690C3767" w:rsidR="00ED283F" w:rsidRDefault="00ED283F" w:rsidP="001A6DEA">
      <w:r>
        <w:t>MSU</w:t>
      </w:r>
    </w:p>
    <w:p w14:paraId="041D13B8" w14:textId="77777777" w:rsidR="00532F15" w:rsidRPr="00346F28" w:rsidRDefault="00532F15" w:rsidP="00532F15">
      <w:pPr>
        <w:tabs>
          <w:tab w:val="left" w:pos="1090"/>
        </w:tabs>
      </w:pPr>
    </w:p>
    <w:p w14:paraId="6A8A3CAD" w14:textId="1C49829B" w:rsidR="00532F15" w:rsidRPr="00346F28" w:rsidRDefault="00532F15" w:rsidP="00532F15">
      <w:pPr>
        <w:pStyle w:val="Heading2"/>
        <w:spacing w:after="240"/>
      </w:pPr>
      <w:bookmarkStart w:id="38" w:name="_Toc165038245"/>
      <w:bookmarkStart w:id="39" w:name="_Hlk164372595"/>
      <w:r w:rsidRPr="00346F28">
        <w:t>111.0</w:t>
      </w:r>
      <w:r>
        <w:t>2</w:t>
      </w:r>
      <w:r w:rsidRPr="00346F28">
        <w:t xml:space="preserve"> </w:t>
      </w:r>
      <w:r w:rsidR="00314E0A">
        <w:t xml:space="preserve">S24 </w:t>
      </w:r>
      <w:r w:rsidRPr="00346F28">
        <w:t xml:space="preserve">Affirm Commitment to the Protection of Academic Freedom in the Face of Censorship Around Current Conflict in </w:t>
      </w:r>
      <w:r>
        <w:t>Palestine and Israel</w:t>
      </w:r>
      <w:bookmarkEnd w:id="38"/>
    </w:p>
    <w:bookmarkEnd w:id="39"/>
    <w:p w14:paraId="5446B9F3" w14:textId="1E87847F" w:rsidR="00532F15" w:rsidRPr="00346F28" w:rsidRDefault="00532F15" w:rsidP="00532F15">
      <w:pPr>
        <w:tabs>
          <w:tab w:val="left" w:pos="1090"/>
        </w:tabs>
      </w:pPr>
      <w:r w:rsidRPr="00346F28">
        <w:t>Whereas, The A</w:t>
      </w:r>
      <w:r>
        <w:t>cademic Senate for California Community Colleges</w:t>
      </w:r>
      <w:r w:rsidRPr="00346F28">
        <w:t>, as “the official voice of California community college faculty in academic and professional matters,”</w:t>
      </w:r>
      <w:r w:rsidRPr="00346F28">
        <w:rPr>
          <w:vertAlign w:val="superscript"/>
        </w:rPr>
        <w:footnoteReference w:id="75"/>
      </w:r>
      <w:r w:rsidRPr="00346F28">
        <w:t xml:space="preserve"> released a report</w:t>
      </w:r>
      <w:r w:rsidRPr="00346F28">
        <w:rPr>
          <w:vertAlign w:val="superscript"/>
        </w:rPr>
        <w:footnoteReference w:id="76"/>
      </w:r>
      <w:r w:rsidRPr="00346F28">
        <w:t xml:space="preserve"> on the issue of academic freedom, stating that the definition of academic freedom should be based on the American Association of University Professors’ definition, which advocates against ‘institutional censorship or discipline’ in their extramural speech.”</w:t>
      </w:r>
      <w:r w:rsidRPr="00346F28">
        <w:rPr>
          <w:vertAlign w:val="superscript"/>
        </w:rPr>
        <w:footnoteReference w:id="77"/>
      </w:r>
      <w:r w:rsidRPr="00346F28">
        <w:t xml:space="preserve">; </w:t>
      </w:r>
    </w:p>
    <w:p w14:paraId="385877D8" w14:textId="77777777" w:rsidR="00532F15" w:rsidRPr="00346F28" w:rsidRDefault="00532F15" w:rsidP="00532F15">
      <w:pPr>
        <w:tabs>
          <w:tab w:val="left" w:pos="1090"/>
        </w:tabs>
      </w:pPr>
      <w:r w:rsidRPr="00346F28">
        <w:t xml:space="preserve">Whereas, The International Sociological Association (ISA) published a statement in support of academic freedom in examining Palestinian and Israeli conflict stating, “The ISA cannot remain silent as spaces of public and academic debate are shrinking and increasingly policed. Today, more than ever, we require critical interventions by social scientists. Academic freedom needs to be protected and promoted. Well-informed and nuanced debate and a historicized and sociological understanding of the events that have led to the October 2023 atrocities are required to forestall further catastrophic loss of life. As stated by the Department of Historical and Cultural Studies at the University of Toronto, </w:t>
      </w:r>
      <w:r>
        <w:t>‘</w:t>
      </w:r>
      <w:r w:rsidRPr="00346F28">
        <w:t>it is not only permissible, but it is essential for scholars to situate the current war in its broad historical contexts, including those of settler colonialism.</w:t>
      </w:r>
      <w:r>
        <w:t>’</w:t>
      </w:r>
      <w:r w:rsidRPr="00346F28">
        <w:t xml:space="preserve"> Our duty as sociologists is to maintain spaces of debate and foster discussion during such a critical moment”</w:t>
      </w:r>
      <w:r w:rsidRPr="00346F28">
        <w:rPr>
          <w:vertAlign w:val="superscript"/>
        </w:rPr>
        <w:footnoteReference w:id="78"/>
      </w:r>
      <w:r w:rsidRPr="00346F28">
        <w:t xml:space="preserve">; </w:t>
      </w:r>
    </w:p>
    <w:p w14:paraId="34FA67C5" w14:textId="72FD7222" w:rsidR="00532F15" w:rsidRPr="00346F28" w:rsidRDefault="00532F15" w:rsidP="00532F15">
      <w:pPr>
        <w:tabs>
          <w:tab w:val="left" w:pos="1090"/>
        </w:tabs>
        <w:rPr>
          <w:lang w:val="en"/>
        </w:rPr>
      </w:pPr>
      <w:r w:rsidRPr="00346F28">
        <w:rPr>
          <w:lang w:val="en"/>
        </w:rPr>
        <w:t>Whereas,</w:t>
      </w:r>
      <w:r w:rsidRPr="00346F28">
        <w:rPr>
          <w:b/>
          <w:bCs/>
          <w:lang w:val="en"/>
        </w:rPr>
        <w:t xml:space="preserve"> </w:t>
      </w:r>
      <w:r w:rsidRPr="00687441">
        <w:rPr>
          <w:lang w:val="en"/>
        </w:rPr>
        <w:t xml:space="preserve">The </w:t>
      </w:r>
      <w:r w:rsidRPr="00346F28">
        <w:rPr>
          <w:lang w:val="en"/>
        </w:rPr>
        <w:t>A</w:t>
      </w:r>
      <w:r>
        <w:rPr>
          <w:lang w:val="en"/>
        </w:rPr>
        <w:t xml:space="preserve">merican </w:t>
      </w:r>
      <w:r w:rsidRPr="00346F28">
        <w:rPr>
          <w:lang w:val="en"/>
        </w:rPr>
        <w:t>F</w:t>
      </w:r>
      <w:r>
        <w:rPr>
          <w:lang w:val="en"/>
        </w:rPr>
        <w:t xml:space="preserve">ederation of </w:t>
      </w:r>
      <w:r w:rsidRPr="00346F28">
        <w:rPr>
          <w:lang w:val="en"/>
        </w:rPr>
        <w:t>T</w:t>
      </w:r>
      <w:r>
        <w:rPr>
          <w:lang w:val="en"/>
        </w:rPr>
        <w:t xml:space="preserve">eachers </w:t>
      </w:r>
      <w:r w:rsidRPr="00346F28">
        <w:rPr>
          <w:lang w:val="en"/>
        </w:rPr>
        <w:t>passed a resolution titled “Calling for a Bilateral Cease-Fire in Gaza and Promoting a Two-State Solution and an End to the Weaponization of Hate”</w:t>
      </w:r>
      <w:r w:rsidRPr="00346F28">
        <w:rPr>
          <w:vertAlign w:val="superscript"/>
          <w:lang w:val="en"/>
        </w:rPr>
        <w:footnoteReference w:id="79"/>
      </w:r>
      <w:r w:rsidRPr="00346F28">
        <w:rPr>
          <w:b/>
          <w:bCs/>
          <w:lang w:val="en"/>
        </w:rPr>
        <w:t xml:space="preserve"> </w:t>
      </w:r>
      <w:r w:rsidRPr="00346F28">
        <w:rPr>
          <w:lang w:val="en"/>
        </w:rPr>
        <w:t xml:space="preserve">stating, “We will defend the rights of educators and their students to participate in intellectually honest discussions, to articulate and rally around their views, including the underlying conflict between Israel and Palestine, moreover, we will not tolerate the weaponization of academic discourse to be used in political attacks on American colleges and universities, and as a pretext for attacks on efforts to increase diversity, promote equity and advance inclusion, our campuses must be places of dialogue for the furtherance of understanding in a pluralistic society, teachers, and students must be free to express different </w:t>
      </w:r>
      <w:r w:rsidRPr="00346F28">
        <w:rPr>
          <w:lang w:val="en"/>
        </w:rPr>
        <w:lastRenderedPageBreak/>
        <w:t>views on the burning issues of the day, without fear of loss of position and retaliation, and without intimidation and threats of violence.”;</w:t>
      </w:r>
      <w:r w:rsidR="002266D3">
        <w:rPr>
          <w:lang w:val="en"/>
        </w:rPr>
        <w:t xml:space="preserve"> and</w:t>
      </w:r>
    </w:p>
    <w:p w14:paraId="056BC34B" w14:textId="77777777" w:rsidR="00532F15" w:rsidRPr="00346F28" w:rsidRDefault="00532F15" w:rsidP="00532F15">
      <w:pPr>
        <w:tabs>
          <w:tab w:val="left" w:pos="1090"/>
        </w:tabs>
      </w:pPr>
      <w:r w:rsidRPr="00346F28">
        <w:t>Whereas, Lawmakers, college administrators and pressure groups from inside and outside our colleges have placed pressures and passed measures to silence faculty around the nation, which have discredited and punished</w:t>
      </w:r>
      <w:r w:rsidRPr="00346F28">
        <w:rPr>
          <w:vertAlign w:val="superscript"/>
        </w:rPr>
        <w:footnoteReference w:id="80"/>
      </w:r>
      <w:r w:rsidRPr="00346F28">
        <w:t xml:space="preserve"> them for exercising academic freedom</w:t>
      </w:r>
      <w:r w:rsidRPr="00346F28">
        <w:rPr>
          <w:vertAlign w:val="superscript"/>
        </w:rPr>
        <w:footnoteReference w:id="81"/>
      </w:r>
      <w:r w:rsidRPr="00346F28">
        <w:t xml:space="preserve"> especially while discussing and teaching material related to Palestinian liberation in college classrooms;</w:t>
      </w:r>
    </w:p>
    <w:p w14:paraId="122FB5BE" w14:textId="77777777" w:rsidR="00532F15" w:rsidRPr="00346F28" w:rsidRDefault="00532F15" w:rsidP="00532F15">
      <w:pPr>
        <w:tabs>
          <w:tab w:val="left" w:pos="1090"/>
        </w:tabs>
      </w:pPr>
      <w:r w:rsidRPr="00346F28">
        <w:t xml:space="preserve">Resolved, That the Academic Senate for California Community Colleges affirm its commitment to the protection of academic freedom on college campuses despite calls to censor texts, discussion, and activism around current conflict in </w:t>
      </w:r>
      <w:r>
        <w:t xml:space="preserve">Palestine and Israel.  </w:t>
      </w:r>
    </w:p>
    <w:p w14:paraId="4B5BF4EB" w14:textId="77777777" w:rsidR="00532F15" w:rsidRDefault="00532F15" w:rsidP="00532F15">
      <w:pPr>
        <w:tabs>
          <w:tab w:val="left" w:pos="1090"/>
        </w:tabs>
      </w:pPr>
      <w:r w:rsidRPr="00346F28">
        <w:t>Contact</w:t>
      </w:r>
      <w:r w:rsidRPr="00346F28">
        <w:rPr>
          <w:b/>
          <w:bCs/>
        </w:rPr>
        <w:t xml:space="preserve">: </w:t>
      </w:r>
      <w:r w:rsidRPr="00346F28">
        <w:t xml:space="preserve">Mona </w:t>
      </w:r>
      <w:proofErr w:type="spellStart"/>
      <w:r w:rsidRPr="00346F28">
        <w:t>Alsoraimi</w:t>
      </w:r>
      <w:proofErr w:type="spellEnd"/>
      <w:r w:rsidRPr="00346F28">
        <w:t>-Espiritu, San Diego City College</w:t>
      </w:r>
    </w:p>
    <w:p w14:paraId="1CEDF629" w14:textId="26E6FA21" w:rsidR="00966625" w:rsidRDefault="00966625" w:rsidP="00532F15">
      <w:pPr>
        <w:tabs>
          <w:tab w:val="left" w:pos="1090"/>
        </w:tabs>
      </w:pPr>
      <w:r>
        <w:t>MSC</w:t>
      </w:r>
    </w:p>
    <w:p w14:paraId="1B8A8005" w14:textId="77777777" w:rsidR="00AF7FB6" w:rsidRDefault="00AF7FB6" w:rsidP="00532F15">
      <w:pPr>
        <w:tabs>
          <w:tab w:val="left" w:pos="1090"/>
        </w:tabs>
      </w:pPr>
    </w:p>
    <w:p w14:paraId="6181BFEF" w14:textId="77777777" w:rsidR="000E3482" w:rsidRDefault="000E3482" w:rsidP="00532F15">
      <w:pPr>
        <w:tabs>
          <w:tab w:val="left" w:pos="1090"/>
        </w:tabs>
      </w:pPr>
    </w:p>
    <w:p w14:paraId="4BBBCAFE" w14:textId="77777777" w:rsidR="00FF14AB" w:rsidRDefault="001A6DEA" w:rsidP="001A6DEA">
      <w:pPr>
        <w:pStyle w:val="Heading1"/>
      </w:pPr>
      <w:bookmarkStart w:id="40" w:name="_Toc165038246"/>
      <w:bookmarkStart w:id="41" w:name="_Toc162362529"/>
      <w:r w:rsidRPr="001A6DEA">
        <w:t xml:space="preserve">112 </w:t>
      </w:r>
      <w:r w:rsidR="00FF14AB">
        <w:t>HIRING, MINIMUM QUALIFICATIONS, EQUIVALENCY, AND EVALUATIONS</w:t>
      </w:r>
      <w:bookmarkEnd w:id="40"/>
    </w:p>
    <w:bookmarkEnd w:id="41"/>
    <w:p w14:paraId="5E93A476" w14:textId="77777777" w:rsidR="001A6DEA" w:rsidRPr="001A6DEA" w:rsidRDefault="001A6DEA" w:rsidP="001A6DEA"/>
    <w:p w14:paraId="07885E6F" w14:textId="77777777" w:rsidR="001A6DEA" w:rsidRPr="001A6DEA" w:rsidRDefault="001A6DEA" w:rsidP="00FC653A">
      <w:pPr>
        <w:pStyle w:val="Heading2"/>
        <w:spacing w:after="240"/>
        <w:rPr>
          <w:lang w:val="en"/>
        </w:rPr>
      </w:pPr>
      <w:bookmarkStart w:id="42" w:name="_Toc162362530"/>
      <w:bookmarkStart w:id="43" w:name="_Toc165038247"/>
      <w:r w:rsidRPr="001A6DEA">
        <w:rPr>
          <w:lang w:val="en"/>
        </w:rPr>
        <w:t>112.01 S24 Disciplines List — Artificial Intelligence</w:t>
      </w:r>
      <w:bookmarkEnd w:id="42"/>
      <w:bookmarkEnd w:id="43"/>
    </w:p>
    <w:p w14:paraId="159B6B05" w14:textId="5C1E15AD" w:rsidR="001A6DEA" w:rsidRPr="001A6DEA" w:rsidRDefault="001A6DEA" w:rsidP="001A6DEA">
      <w:r w:rsidRPr="001A6DEA">
        <w:t xml:space="preserve">Whereas, Oral and written testimony given through the consultation process used for the review of </w:t>
      </w:r>
      <w:r w:rsidRPr="001A6DEA">
        <w:rPr>
          <w:i/>
          <w:iCs/>
        </w:rPr>
        <w:t>Minimum Qualifications for Faculty and Administrators in California Community Colleges</w:t>
      </w:r>
      <w:r w:rsidRPr="001A6DEA">
        <w:t xml:space="preserve">, also known as the Disciplines List, supported the following addition of the </w:t>
      </w:r>
      <w:r w:rsidR="009F3902">
        <w:t>a</w:t>
      </w:r>
      <w:r w:rsidRPr="001A6DEA">
        <w:t xml:space="preserve">rtificial </w:t>
      </w:r>
      <w:r w:rsidR="009F3902">
        <w:t>i</w:t>
      </w:r>
      <w:r w:rsidRPr="001A6DEA">
        <w:t>ntelligence discipline:</w:t>
      </w:r>
    </w:p>
    <w:p w14:paraId="0665561E" w14:textId="77777777" w:rsidR="001A6DEA" w:rsidRPr="001A6DEA" w:rsidRDefault="001A6DEA" w:rsidP="008C7FB5">
      <w:pPr>
        <w:ind w:left="720"/>
        <w:rPr>
          <w:bCs/>
          <w:i/>
          <w:iCs/>
        </w:rPr>
      </w:pPr>
      <w:r w:rsidRPr="001A6DEA">
        <w:rPr>
          <w:bCs/>
          <w:i/>
          <w:iCs/>
        </w:rPr>
        <w:t>Master's in artificial intelligence/machine learning, computer science, electrical engineering and computer science, data science, or cognitive science,</w:t>
      </w:r>
    </w:p>
    <w:p w14:paraId="78A57252" w14:textId="77777777" w:rsidR="001A6DEA" w:rsidRPr="001A6DEA" w:rsidRDefault="001A6DEA" w:rsidP="008C7FB5">
      <w:pPr>
        <w:ind w:left="720"/>
        <w:rPr>
          <w:bCs/>
          <w:i/>
          <w:iCs/>
        </w:rPr>
      </w:pPr>
      <w:r w:rsidRPr="001A6DEA">
        <w:rPr>
          <w:bCs/>
          <w:i/>
          <w:iCs/>
        </w:rPr>
        <w:t>OR</w:t>
      </w:r>
    </w:p>
    <w:p w14:paraId="7E1FA12E" w14:textId="77777777" w:rsidR="001A6DEA" w:rsidRPr="001A6DEA" w:rsidRDefault="001A6DEA" w:rsidP="008C7FB5">
      <w:pPr>
        <w:ind w:left="720"/>
      </w:pPr>
      <w:r w:rsidRPr="001A6DEA">
        <w:rPr>
          <w:i/>
        </w:rPr>
        <w:t xml:space="preserve">the equivalent; </w:t>
      </w:r>
      <w:r w:rsidRPr="001A6DEA">
        <w:t>and</w:t>
      </w:r>
    </w:p>
    <w:p w14:paraId="1E776969" w14:textId="77777777" w:rsidR="001A6DEA" w:rsidRPr="001A6DEA" w:rsidRDefault="001A6DEA" w:rsidP="001A6DEA">
      <w:r w:rsidRPr="001A6DEA">
        <w:t xml:space="preserve">Whereas, The Executive Committee of the Academic Senate for California Community Colleges has reviewed the proposal and deemed that the process outlined in the </w:t>
      </w:r>
      <w:r w:rsidRPr="001A6DEA">
        <w:rPr>
          <w:i/>
          <w:iCs/>
        </w:rPr>
        <w:t>Disciplines List Revision Handbook</w:t>
      </w:r>
      <w:r w:rsidRPr="001A6DEA">
        <w:t xml:space="preserve"> was followed;</w:t>
      </w:r>
    </w:p>
    <w:p w14:paraId="661392D2" w14:textId="77777777" w:rsidR="001A6DEA" w:rsidRPr="001A6DEA" w:rsidRDefault="001A6DEA" w:rsidP="001A6DEA">
      <w:r w:rsidRPr="001A6DEA">
        <w:lastRenderedPageBreak/>
        <w:t>Resolved, That the Academic Senate for California Community Colleges recommend that the California Community Colleges Board of Governors adopt the proposed addition to the Disciplines List for artificial intelligence.</w:t>
      </w:r>
    </w:p>
    <w:p w14:paraId="17F46C8A" w14:textId="77777777" w:rsidR="001A6DEA" w:rsidRDefault="001A6DEA" w:rsidP="001A6DEA">
      <w:r w:rsidRPr="001A6DEA">
        <w:t>Contact:  Eric Wada, ASCCC Executive Committee, ASCCC Standards and Practices Committee</w:t>
      </w:r>
    </w:p>
    <w:p w14:paraId="16FA5750" w14:textId="50B10B72" w:rsidR="00A639CD" w:rsidRDefault="00A639CD" w:rsidP="001A6DEA">
      <w:r>
        <w:t>MSC</w:t>
      </w:r>
    </w:p>
    <w:p w14:paraId="48E1299C" w14:textId="77777777" w:rsidR="00176D01" w:rsidRPr="001A6DEA" w:rsidRDefault="00176D01" w:rsidP="001A6DEA"/>
    <w:p w14:paraId="16F4B357" w14:textId="2821305F" w:rsidR="001A6DEA" w:rsidRPr="001A6DEA" w:rsidRDefault="001A6DEA" w:rsidP="00FC653A">
      <w:pPr>
        <w:pStyle w:val="Heading2"/>
        <w:spacing w:after="240"/>
        <w:rPr>
          <w:lang w:val="en"/>
        </w:rPr>
      </w:pPr>
      <w:bookmarkStart w:id="44" w:name="_Toc162362531"/>
      <w:bookmarkStart w:id="45" w:name="_Toc165038248"/>
      <w:r w:rsidRPr="001A6DEA">
        <w:rPr>
          <w:lang w:val="en"/>
        </w:rPr>
        <w:t>112.02 S24 Disciplines List — Nursing</w:t>
      </w:r>
      <w:bookmarkEnd w:id="44"/>
      <w:bookmarkEnd w:id="45"/>
    </w:p>
    <w:p w14:paraId="4490D5D7" w14:textId="776C5E24" w:rsidR="001A6DEA" w:rsidRPr="001A6DEA" w:rsidRDefault="001A6DEA" w:rsidP="001A6DEA">
      <w:r w:rsidRPr="001A6DEA">
        <w:t xml:space="preserve">Whereas, Oral and written testimony given through the consultation process used for the review of </w:t>
      </w:r>
      <w:r w:rsidRPr="001A6DEA">
        <w:rPr>
          <w:i/>
          <w:iCs/>
        </w:rPr>
        <w:t>Minimum Qualifications for Faculty and Administrators in California Community Colleges</w:t>
      </w:r>
      <w:r w:rsidRPr="001A6DEA">
        <w:t xml:space="preserve">, also known as the Disciplines List, supported the following revision of the </w:t>
      </w:r>
      <w:r w:rsidR="009C4790">
        <w:t>n</w:t>
      </w:r>
      <w:r w:rsidRPr="001A6DEA">
        <w:t>ursing discipline:</w:t>
      </w:r>
    </w:p>
    <w:p w14:paraId="03686CA8" w14:textId="77777777" w:rsidR="001A6DEA" w:rsidRPr="001A6DEA" w:rsidRDefault="001A6DEA" w:rsidP="008C7FB5">
      <w:pPr>
        <w:ind w:left="720"/>
        <w:rPr>
          <w:bCs/>
          <w:i/>
        </w:rPr>
      </w:pPr>
      <w:r w:rsidRPr="001A6DEA">
        <w:rPr>
          <w:bCs/>
          <w:i/>
        </w:rPr>
        <w:t>Master’s in nursing</w:t>
      </w:r>
    </w:p>
    <w:p w14:paraId="581D0A73" w14:textId="77777777" w:rsidR="001A6DEA" w:rsidRPr="001A6DEA" w:rsidRDefault="001A6DEA" w:rsidP="008C7FB5">
      <w:pPr>
        <w:ind w:left="720"/>
        <w:rPr>
          <w:bCs/>
          <w:i/>
        </w:rPr>
      </w:pPr>
      <w:r w:rsidRPr="001A6DEA">
        <w:rPr>
          <w:bCs/>
          <w:i/>
        </w:rPr>
        <w:t>OR</w:t>
      </w:r>
    </w:p>
    <w:p w14:paraId="6D26B810" w14:textId="77777777" w:rsidR="001A6DEA" w:rsidRPr="001A6DEA" w:rsidRDefault="001A6DEA" w:rsidP="008C7FB5">
      <w:pPr>
        <w:ind w:left="720"/>
        <w:rPr>
          <w:bCs/>
          <w:i/>
        </w:rPr>
      </w:pPr>
      <w:r w:rsidRPr="001A6DEA">
        <w:rPr>
          <w:bCs/>
          <w:i/>
        </w:rPr>
        <w:t>Bachelor’s in nursing AND Master’s in health education or health science</w:t>
      </w:r>
    </w:p>
    <w:p w14:paraId="0170394C" w14:textId="77777777" w:rsidR="001A6DEA" w:rsidRPr="001A6DEA" w:rsidRDefault="001A6DEA" w:rsidP="008C7FB5">
      <w:pPr>
        <w:ind w:left="720"/>
        <w:rPr>
          <w:bCs/>
          <w:i/>
        </w:rPr>
      </w:pPr>
      <w:r w:rsidRPr="001A6DEA">
        <w:rPr>
          <w:bCs/>
          <w:i/>
        </w:rPr>
        <w:t>OR</w:t>
      </w:r>
    </w:p>
    <w:p w14:paraId="4952D946" w14:textId="77777777" w:rsidR="001A6DEA" w:rsidRPr="001A6DEA" w:rsidRDefault="001A6DEA" w:rsidP="008C7FB5">
      <w:pPr>
        <w:ind w:left="720"/>
        <w:rPr>
          <w:bCs/>
          <w:i/>
        </w:rPr>
      </w:pPr>
      <w:r w:rsidRPr="001A6DEA">
        <w:rPr>
          <w:bCs/>
          <w:i/>
        </w:rPr>
        <w:t>the equivalent</w:t>
      </w:r>
    </w:p>
    <w:p w14:paraId="0A6622E8" w14:textId="77777777" w:rsidR="001A6DEA" w:rsidRPr="001A6DEA" w:rsidRDefault="001A6DEA" w:rsidP="008C7FB5">
      <w:pPr>
        <w:ind w:left="720"/>
        <w:rPr>
          <w:bCs/>
          <w:i/>
        </w:rPr>
      </w:pPr>
      <w:r w:rsidRPr="001A6DEA">
        <w:rPr>
          <w:bCs/>
          <w:i/>
        </w:rPr>
        <w:t>OR</w:t>
      </w:r>
    </w:p>
    <w:p w14:paraId="0B55E05F" w14:textId="77777777" w:rsidR="001A6DEA" w:rsidRPr="001A6DEA" w:rsidRDefault="001A6DEA" w:rsidP="008C7FB5">
      <w:pPr>
        <w:ind w:left="720"/>
        <w:rPr>
          <w:bCs/>
          <w:iCs/>
        </w:rPr>
      </w:pPr>
      <w:r w:rsidRPr="001A6DEA">
        <w:rPr>
          <w:bCs/>
          <w:i/>
        </w:rPr>
        <w:t xml:space="preserve">the minimum qualifications as set by the Board of Registered Nursing; </w:t>
      </w:r>
      <w:r w:rsidRPr="001A6DEA">
        <w:rPr>
          <w:bCs/>
          <w:iCs/>
        </w:rPr>
        <w:t>and</w:t>
      </w:r>
    </w:p>
    <w:p w14:paraId="788D57ED" w14:textId="77777777" w:rsidR="001A6DEA" w:rsidRPr="001A6DEA" w:rsidRDefault="001A6DEA" w:rsidP="001A6DEA">
      <w:r w:rsidRPr="001A6DEA">
        <w:t xml:space="preserve">Whereas, The Executive Committee of the Academic Senate for California Community Colleges has reviewed the proposal and deemed that the process outlined in the </w:t>
      </w:r>
      <w:r w:rsidRPr="001A6DEA">
        <w:rPr>
          <w:i/>
          <w:iCs/>
        </w:rPr>
        <w:t>Disciplines List Revision Handbook</w:t>
      </w:r>
      <w:r w:rsidRPr="001A6DEA">
        <w:t xml:space="preserve"> was followed;</w:t>
      </w:r>
    </w:p>
    <w:p w14:paraId="617320DF" w14:textId="77777777" w:rsidR="001A6DEA" w:rsidRPr="001A6DEA" w:rsidRDefault="001A6DEA" w:rsidP="001A6DEA">
      <w:r w:rsidRPr="001A6DEA">
        <w:t>Resolved, That the Academic Senate for California Community Colleges recommend that the California Community Colleges Board of Governors adopt the proposed revision to the Disciplines List for nursing.</w:t>
      </w:r>
    </w:p>
    <w:p w14:paraId="1C8499A5" w14:textId="77777777" w:rsidR="007E0237" w:rsidRDefault="001A6DEA" w:rsidP="001A6DEA">
      <w:r w:rsidRPr="001A6DEA">
        <w:t>Contact:  Eric Wada, ASCCC Executive Committee, ASCCC Standards and Practices Committee</w:t>
      </w:r>
    </w:p>
    <w:p w14:paraId="6D46C329" w14:textId="6EEFACA7" w:rsidR="001A3BFD" w:rsidRDefault="001A3BFD" w:rsidP="001A6DEA">
      <w:r>
        <w:t>MSU</w:t>
      </w:r>
    </w:p>
    <w:p w14:paraId="78BD7478" w14:textId="77777777" w:rsidR="007E0237" w:rsidRDefault="007E0237" w:rsidP="001A6DEA"/>
    <w:p w14:paraId="3E8DA909" w14:textId="535CBF3C" w:rsidR="001A6DEA" w:rsidRPr="001A6DEA" w:rsidRDefault="001A6DEA" w:rsidP="00FC653A">
      <w:pPr>
        <w:pStyle w:val="Heading2"/>
        <w:spacing w:after="240"/>
        <w:rPr>
          <w:lang w:val="en"/>
        </w:rPr>
      </w:pPr>
      <w:bookmarkStart w:id="46" w:name="_Toc162362532"/>
      <w:bookmarkStart w:id="47" w:name="_Toc165038249"/>
      <w:r w:rsidRPr="001A6DEA">
        <w:rPr>
          <w:lang w:val="en"/>
        </w:rPr>
        <w:t>112.03 S24 Disciplines List — Art</w:t>
      </w:r>
      <w:bookmarkEnd w:id="46"/>
      <w:bookmarkEnd w:id="47"/>
    </w:p>
    <w:p w14:paraId="5B9A945C" w14:textId="6C783507" w:rsidR="001A6DEA" w:rsidRPr="001A6DEA" w:rsidRDefault="001A6DEA" w:rsidP="001A6DEA">
      <w:r w:rsidRPr="001A6DEA">
        <w:t xml:space="preserve">Whereas, Oral and written testimony given through the consultation process used for the review of </w:t>
      </w:r>
      <w:r w:rsidRPr="001A6DEA">
        <w:rPr>
          <w:i/>
          <w:iCs/>
        </w:rPr>
        <w:t xml:space="preserve">Minimum Qualifications for Faculty and Administrators in California Community </w:t>
      </w:r>
      <w:r w:rsidRPr="001A6DEA">
        <w:rPr>
          <w:i/>
          <w:iCs/>
        </w:rPr>
        <w:lastRenderedPageBreak/>
        <w:t>Colleges</w:t>
      </w:r>
      <w:r w:rsidRPr="001A6DEA">
        <w:t xml:space="preserve">, also known as the Disciplines List, supported the following </w:t>
      </w:r>
      <w:r w:rsidR="00B505D6">
        <w:t>revision</w:t>
      </w:r>
      <w:r w:rsidRPr="001A6DEA">
        <w:t xml:space="preserve"> of the </w:t>
      </w:r>
      <w:r w:rsidR="00B505D6">
        <w:t>a</w:t>
      </w:r>
      <w:r w:rsidRPr="001A6DEA">
        <w:t>rt discipline:</w:t>
      </w:r>
    </w:p>
    <w:p w14:paraId="543A824F" w14:textId="77777777" w:rsidR="001A6DEA" w:rsidRPr="001A6DEA" w:rsidRDefault="001A6DEA" w:rsidP="008C7FB5">
      <w:pPr>
        <w:ind w:left="720"/>
        <w:rPr>
          <w:i/>
          <w:iCs/>
        </w:rPr>
      </w:pPr>
      <w:r w:rsidRPr="001A6DEA">
        <w:rPr>
          <w:i/>
          <w:iCs/>
        </w:rPr>
        <w:t>Master’s in fine arts, art, or art history</w:t>
      </w:r>
    </w:p>
    <w:p w14:paraId="63A5F853" w14:textId="77777777" w:rsidR="001A6DEA" w:rsidRPr="001A6DEA" w:rsidRDefault="001A6DEA" w:rsidP="008C7FB5">
      <w:pPr>
        <w:ind w:left="720"/>
        <w:rPr>
          <w:i/>
          <w:iCs/>
        </w:rPr>
      </w:pPr>
      <w:r w:rsidRPr="001A6DEA">
        <w:rPr>
          <w:i/>
          <w:iCs/>
        </w:rPr>
        <w:t>OR</w:t>
      </w:r>
    </w:p>
    <w:p w14:paraId="71346A02" w14:textId="77777777" w:rsidR="001A6DEA" w:rsidRPr="001A6DEA" w:rsidRDefault="001A6DEA" w:rsidP="008C7FB5">
      <w:pPr>
        <w:ind w:left="720"/>
        <w:rPr>
          <w:i/>
          <w:iCs/>
        </w:rPr>
      </w:pPr>
      <w:r w:rsidRPr="001A6DEA">
        <w:rPr>
          <w:i/>
          <w:iCs/>
        </w:rPr>
        <w:t xml:space="preserve">Bachelor’s in any of the above AND Master’s in humanities </w:t>
      </w:r>
    </w:p>
    <w:p w14:paraId="02D3B11D" w14:textId="77777777" w:rsidR="001A6DEA" w:rsidRPr="001A6DEA" w:rsidRDefault="001A6DEA" w:rsidP="008C7FB5">
      <w:pPr>
        <w:ind w:left="720"/>
        <w:rPr>
          <w:i/>
          <w:iCs/>
        </w:rPr>
      </w:pPr>
      <w:r w:rsidRPr="001A6DEA">
        <w:rPr>
          <w:i/>
          <w:iCs/>
        </w:rPr>
        <w:t>OR</w:t>
      </w:r>
    </w:p>
    <w:p w14:paraId="0E3E45AF" w14:textId="77777777" w:rsidR="001A6DEA" w:rsidRPr="001A6DEA" w:rsidRDefault="001A6DEA" w:rsidP="008C7FB5">
      <w:pPr>
        <w:ind w:left="720"/>
        <w:rPr>
          <w:i/>
          <w:iCs/>
        </w:rPr>
      </w:pPr>
      <w:r w:rsidRPr="001A6DEA">
        <w:rPr>
          <w:i/>
          <w:iCs/>
        </w:rPr>
        <w:t xml:space="preserve">the equivalent </w:t>
      </w:r>
    </w:p>
    <w:p w14:paraId="0603FB22" w14:textId="0E5D57F7" w:rsidR="001A6DEA" w:rsidRPr="001A6DEA" w:rsidRDefault="001A6DEA" w:rsidP="008C7FB5">
      <w:pPr>
        <w:ind w:left="720"/>
      </w:pPr>
      <w:r w:rsidRPr="001A6DEA">
        <w:rPr>
          <w:i/>
          <w:iCs/>
        </w:rPr>
        <w:t xml:space="preserve">(NOTE: “Master’s in fine arts” as used here refers to any master’s degree in the subject matter of fine arts, which is defined to include visual studio arts such as drawing, painting, sculpture, printmaking, ceramics, textiles, and metal and jewelry art; and also art education and art therapy. It does not refer to the “Master of Fine Arts” (MFA) degree when that degree is based on specialization in performing arts or dance, film, creative writing or other </w:t>
      </w:r>
      <w:proofErr w:type="spellStart"/>
      <w:r w:rsidRPr="001A6DEA">
        <w:rPr>
          <w:i/>
          <w:iCs/>
        </w:rPr>
        <w:t>nonplastic</w:t>
      </w:r>
      <w:proofErr w:type="spellEnd"/>
      <w:r w:rsidRPr="001A6DEA">
        <w:rPr>
          <w:i/>
          <w:iCs/>
        </w:rPr>
        <w:t xml:space="preserve"> arts.);</w:t>
      </w:r>
      <w:r w:rsidR="008C7FB5">
        <w:t xml:space="preserve"> and</w:t>
      </w:r>
    </w:p>
    <w:p w14:paraId="61C60670" w14:textId="77777777" w:rsidR="001A6DEA" w:rsidRPr="001A6DEA" w:rsidRDefault="001A6DEA" w:rsidP="001A6DEA">
      <w:r w:rsidRPr="001A6DEA">
        <w:t xml:space="preserve">Whereas, The Executive Committee of the Academic Senate for California Community Colleges has reviewed the proposal and deemed that the process outlined in the </w:t>
      </w:r>
      <w:r w:rsidRPr="001A6DEA">
        <w:rPr>
          <w:i/>
          <w:iCs/>
        </w:rPr>
        <w:t>Disciplines List Revision Handbook</w:t>
      </w:r>
      <w:r w:rsidRPr="001A6DEA">
        <w:t xml:space="preserve"> was followed;</w:t>
      </w:r>
    </w:p>
    <w:p w14:paraId="04F1F4A5" w14:textId="77777777" w:rsidR="001A6DEA" w:rsidRPr="001A6DEA" w:rsidRDefault="001A6DEA" w:rsidP="001A6DEA">
      <w:r w:rsidRPr="001A6DEA">
        <w:t>Resolved, That the Academic Senate for California Community Colleges recommend that the California Community Colleges Board of Governors adopt the proposed revision to the Disciplines List for art.</w:t>
      </w:r>
    </w:p>
    <w:p w14:paraId="51431E61" w14:textId="77777777" w:rsidR="001A6DEA" w:rsidRDefault="001A6DEA" w:rsidP="001A6DEA">
      <w:r w:rsidRPr="001A6DEA">
        <w:t>Contact:  Eric Wada, ASCCC Executive Committee, ASCCC Standards and Practices Committee</w:t>
      </w:r>
    </w:p>
    <w:p w14:paraId="5976AB47" w14:textId="3DE999CB" w:rsidR="007E0237" w:rsidRDefault="00AF7826" w:rsidP="001A6DEA">
      <w:r>
        <w:t>MSU</w:t>
      </w:r>
    </w:p>
    <w:p w14:paraId="3B535D34" w14:textId="77777777" w:rsidR="007E0237" w:rsidRDefault="007E0237" w:rsidP="001A6DEA"/>
    <w:p w14:paraId="3FAFC484" w14:textId="77777777" w:rsidR="0014141D" w:rsidRDefault="0014141D" w:rsidP="001A6DEA"/>
    <w:p w14:paraId="16F1512C" w14:textId="4AEEBDEF" w:rsidR="001A6DEA" w:rsidRDefault="001A6DEA" w:rsidP="001A6DEA">
      <w:pPr>
        <w:pStyle w:val="Heading1"/>
      </w:pPr>
      <w:bookmarkStart w:id="48" w:name="_Toc162362533"/>
      <w:bookmarkStart w:id="49" w:name="_Toc165038250"/>
      <w:r w:rsidRPr="001A6DEA">
        <w:t xml:space="preserve">113 </w:t>
      </w:r>
      <w:bookmarkEnd w:id="48"/>
      <w:r w:rsidR="00FF14AB">
        <w:t>LEGISLATION AND ADVOCACY</w:t>
      </w:r>
      <w:bookmarkEnd w:id="49"/>
    </w:p>
    <w:p w14:paraId="74B9D86F" w14:textId="77777777" w:rsidR="007E0237" w:rsidRPr="007E0237" w:rsidRDefault="007E0237" w:rsidP="007E0237"/>
    <w:p w14:paraId="42C3C7F8" w14:textId="77777777" w:rsidR="001A6DEA" w:rsidRPr="001A6DEA" w:rsidRDefault="001A6DEA" w:rsidP="00FC653A">
      <w:pPr>
        <w:pStyle w:val="Heading2"/>
        <w:spacing w:after="240"/>
        <w:rPr>
          <w:lang w:val="en"/>
        </w:rPr>
      </w:pPr>
      <w:bookmarkStart w:id="50" w:name="_Toc162362534"/>
      <w:bookmarkStart w:id="51" w:name="_Toc165038251"/>
      <w:r w:rsidRPr="001A6DEA">
        <w:rPr>
          <w:lang w:val="en"/>
        </w:rPr>
        <w:t>113.01 S24 Support SB 895 (Roth, as of March 9, 2024) to Establish the Baccalaureate Degree in Nursing Pilot Program</w:t>
      </w:r>
      <w:bookmarkEnd w:id="50"/>
      <w:bookmarkEnd w:id="51"/>
    </w:p>
    <w:p w14:paraId="6BDB5DC4" w14:textId="77777777" w:rsidR="001A6DEA" w:rsidRPr="001A6DEA" w:rsidRDefault="001A6DEA" w:rsidP="001A6DEA">
      <w:r w:rsidRPr="001A6DEA">
        <w:t xml:space="preserve">Whereas, California’s long-standing shortage of Registered Nurses (RNs) has worsened in recent years with an increase in the number of RN retirements, increase in the percentage of employed </w:t>
      </w:r>
      <w:r w:rsidRPr="001A6DEA">
        <w:lastRenderedPageBreak/>
        <w:t>RNs planning to retire or leaving nursing in the next two years, and a decline in RN education program enrollments and graduations, despite an increase in applications</w:t>
      </w:r>
      <w:r w:rsidRPr="001A6DEA">
        <w:rPr>
          <w:vertAlign w:val="superscript"/>
        </w:rPr>
        <w:footnoteReference w:id="82"/>
      </w:r>
      <w:r w:rsidRPr="001A6DEA">
        <w:t>;</w:t>
      </w:r>
    </w:p>
    <w:p w14:paraId="59A91EE3" w14:textId="3A2D1869" w:rsidR="001A6DEA" w:rsidRPr="001A6DEA" w:rsidRDefault="001A6DEA" w:rsidP="001A6DEA">
      <w:r w:rsidRPr="001A6DEA">
        <w:t>Whereas, Bachelor of Science in Nursing (BSN) degrees are increasingly preferred in the hiring of R</w:t>
      </w:r>
      <w:r w:rsidR="0032718B">
        <w:t>egistered Nurse</w:t>
      </w:r>
      <w:r w:rsidRPr="001A6DEA">
        <w:t>s</w:t>
      </w:r>
      <w:r w:rsidRPr="001A6DEA">
        <w:rPr>
          <w:vertAlign w:val="superscript"/>
        </w:rPr>
        <w:footnoteReference w:id="83"/>
      </w:r>
      <w:r w:rsidRPr="001A6DEA">
        <w:t xml:space="preserve"> and California’s nursing programs annually turn away thousands of qualified applicants, e.g., in 2021-22, out of 35,474 qualified applicants for a BSN program there were only 12,963 spaces available of which only 9,179 ultimately enrolled</w:t>
      </w:r>
      <w:r w:rsidRPr="001A6DEA">
        <w:rPr>
          <w:vertAlign w:val="superscript"/>
        </w:rPr>
        <w:footnoteReference w:id="84"/>
      </w:r>
      <w:r w:rsidRPr="001A6DEA">
        <w:t xml:space="preserve">; </w:t>
      </w:r>
    </w:p>
    <w:p w14:paraId="4812DFE1" w14:textId="1C35D546" w:rsidR="001A6DEA" w:rsidRPr="001A6DEA" w:rsidRDefault="001A6DEA" w:rsidP="001A6DEA">
      <w:r w:rsidRPr="001A6DEA">
        <w:t>Whereas, The Academic Senate for California Community Colleges supported the expansion of baccalaureate degree programs in the California community colleges in disciplines and communities that best serve the students of the California Community Colleges with prioritization of programs in allied health fields</w:t>
      </w:r>
      <w:r w:rsidRPr="001A6DEA">
        <w:rPr>
          <w:vertAlign w:val="superscript"/>
        </w:rPr>
        <w:footnoteReference w:id="85"/>
      </w:r>
      <w:r w:rsidRPr="001A6DEA">
        <w:t>; and</w:t>
      </w:r>
    </w:p>
    <w:p w14:paraId="1723866B" w14:textId="77777777" w:rsidR="001A6DEA" w:rsidRPr="001A6DEA" w:rsidRDefault="001A6DEA" w:rsidP="001A6DEA">
      <w:r w:rsidRPr="001A6DEA">
        <w:t>Whereas, SB 895 (Roth, as of March 9, 2024)</w:t>
      </w:r>
      <w:r w:rsidRPr="001A6DEA">
        <w:rPr>
          <w:vertAlign w:val="superscript"/>
        </w:rPr>
        <w:footnoteReference w:id="86"/>
      </w:r>
      <w:r w:rsidRPr="001A6DEA">
        <w:t xml:space="preserve"> would </w:t>
      </w:r>
    </w:p>
    <w:p w14:paraId="48E87BE1" w14:textId="77777777" w:rsidR="001A6DEA" w:rsidRPr="001A6DEA" w:rsidRDefault="001A6DEA" w:rsidP="001A6DEA">
      <w:pPr>
        <w:numPr>
          <w:ilvl w:val="0"/>
          <w:numId w:val="9"/>
        </w:numPr>
      </w:pPr>
      <w:r w:rsidRPr="001A6DEA">
        <w:t>Require the Chancellor of the California Community Colleges to develop a Baccalaureate Degree in Nursing Pilot Program that authorizes up to 15 community college districts to offer a Bachelor of Science in Nursing degree.</w:t>
      </w:r>
    </w:p>
    <w:p w14:paraId="19E54BBF" w14:textId="77777777" w:rsidR="001A6DEA" w:rsidRPr="001A6DEA" w:rsidRDefault="001A6DEA" w:rsidP="001A6DEA">
      <w:pPr>
        <w:numPr>
          <w:ilvl w:val="0"/>
          <w:numId w:val="9"/>
        </w:numPr>
      </w:pPr>
      <w:r w:rsidRPr="001A6DEA">
        <w:t>Require the chancellor to identify eligible community college districts that apply based on the following criteria:</w:t>
      </w:r>
    </w:p>
    <w:p w14:paraId="0C978C2C" w14:textId="77777777" w:rsidR="001A6DEA" w:rsidRPr="001A6DEA" w:rsidRDefault="001A6DEA" w:rsidP="001A6DEA">
      <w:pPr>
        <w:numPr>
          <w:ilvl w:val="1"/>
          <w:numId w:val="9"/>
        </w:numPr>
      </w:pPr>
      <w:r w:rsidRPr="001A6DEA">
        <w:t>There is equitable access between the northern, central, and southern parts of the state to the pilot program.</w:t>
      </w:r>
    </w:p>
    <w:p w14:paraId="2CE926CA" w14:textId="77777777" w:rsidR="001A6DEA" w:rsidRPr="001A6DEA" w:rsidRDefault="001A6DEA" w:rsidP="001A6DEA">
      <w:pPr>
        <w:numPr>
          <w:ilvl w:val="1"/>
          <w:numId w:val="9"/>
        </w:numPr>
      </w:pPr>
      <w:r w:rsidRPr="001A6DEA">
        <w:t>Priority is given to community college districts in underserved nursing areas.</w:t>
      </w:r>
    </w:p>
    <w:p w14:paraId="0781CCB5" w14:textId="77777777" w:rsidR="001A6DEA" w:rsidRPr="001A6DEA" w:rsidRDefault="001A6DEA" w:rsidP="001A6DEA">
      <w:pPr>
        <w:numPr>
          <w:ilvl w:val="1"/>
          <w:numId w:val="9"/>
        </w:numPr>
      </w:pPr>
      <w:r w:rsidRPr="001A6DEA">
        <w:t>The community college district has a nationally accredited nursing program.</w:t>
      </w:r>
    </w:p>
    <w:p w14:paraId="1996ED82" w14:textId="77777777" w:rsidR="001A6DEA" w:rsidRPr="001A6DEA" w:rsidRDefault="001A6DEA" w:rsidP="001A6DEA">
      <w:pPr>
        <w:numPr>
          <w:ilvl w:val="0"/>
          <w:numId w:val="9"/>
        </w:numPr>
      </w:pPr>
      <w:r w:rsidRPr="001A6DEA">
        <w:t>Limit the total number of participants in a pilot program at a community college district to 25 percent of the community college district’s associate degree in nursing class size.</w:t>
      </w:r>
    </w:p>
    <w:p w14:paraId="4E225F14" w14:textId="77777777" w:rsidR="001A6DEA" w:rsidRPr="001A6DEA" w:rsidRDefault="001A6DEA" w:rsidP="001A6DEA">
      <w:pPr>
        <w:numPr>
          <w:ilvl w:val="0"/>
          <w:numId w:val="9"/>
        </w:numPr>
      </w:pPr>
      <w:r w:rsidRPr="001A6DEA">
        <w:t>Require the Legislative Analyst’s Office to conduct an evaluation of the pilot program to determine the effectiveness of the program and the need to continue or expand the program;</w:t>
      </w:r>
    </w:p>
    <w:p w14:paraId="17A66DB7" w14:textId="70D9E919" w:rsidR="001A6DEA" w:rsidRPr="001A6DEA" w:rsidRDefault="001A6DEA" w:rsidP="001A6DEA">
      <w:r w:rsidRPr="001A6DEA">
        <w:lastRenderedPageBreak/>
        <w:t>Resolved, That the Academic Senate for California Community Colleges support SB 895</w:t>
      </w:r>
      <w:r w:rsidR="006B66B4">
        <w:t xml:space="preserve"> (Roth, as of March 9, 2024)</w:t>
      </w:r>
      <w:r w:rsidRPr="001A6DEA">
        <w:rPr>
          <w:vertAlign w:val="superscript"/>
        </w:rPr>
        <w:footnoteReference w:id="87"/>
      </w:r>
      <w:r w:rsidRPr="001A6DEA">
        <w:t xml:space="preserve"> to establish the Baccalaureate Degree in Nursing Pilot Program.</w:t>
      </w:r>
    </w:p>
    <w:p w14:paraId="66CBCB16" w14:textId="2FE4D77A" w:rsidR="001A6DEA" w:rsidRDefault="001A6DEA" w:rsidP="001A6DEA">
      <w:r w:rsidRPr="001A6DEA">
        <w:t>Contact: Angela Echeverri, Los Angeles Community College District, ASCCC Legislative and Advocacy Committee</w:t>
      </w:r>
    </w:p>
    <w:p w14:paraId="4FBDA91F" w14:textId="55147B48" w:rsidR="00A87B81" w:rsidRDefault="00A87B81" w:rsidP="001A6DEA">
      <w:r>
        <w:t>MSC</w:t>
      </w:r>
    </w:p>
    <w:p w14:paraId="502A6CB3" w14:textId="77777777" w:rsidR="0014141D" w:rsidRDefault="0014141D" w:rsidP="001A6DEA"/>
    <w:p w14:paraId="333B0161" w14:textId="334DD1A2" w:rsidR="001A6DEA" w:rsidRPr="001A6DEA" w:rsidRDefault="001A6DEA" w:rsidP="00FC653A">
      <w:pPr>
        <w:pStyle w:val="Heading2"/>
        <w:spacing w:after="240"/>
        <w:rPr>
          <w:lang w:val="en"/>
        </w:rPr>
      </w:pPr>
      <w:bookmarkStart w:id="52" w:name="_Toc162362535"/>
      <w:bookmarkStart w:id="53" w:name="_Toc165038252"/>
      <w:r w:rsidRPr="001A6DEA">
        <w:rPr>
          <w:lang w:val="en"/>
        </w:rPr>
        <w:t>113.02 S24 Support ACR 147 (Alvarez as of February 16, 2024): California's First-Generation College Celebration Day</w:t>
      </w:r>
      <w:bookmarkEnd w:id="52"/>
      <w:bookmarkEnd w:id="53"/>
    </w:p>
    <w:p w14:paraId="79B0BFC6" w14:textId="24B89361" w:rsidR="001A6DEA" w:rsidRPr="001A6DEA" w:rsidRDefault="001A6DEA" w:rsidP="001A6DEA">
      <w:pPr>
        <w:rPr>
          <w:lang w:val="en"/>
        </w:rPr>
      </w:pPr>
      <w:r w:rsidRPr="001A6DEA">
        <w:t>Whereas, Assembly Concurrent Resolution 147 (Alvarez</w:t>
      </w:r>
      <w:r w:rsidR="00EE1D03">
        <w:t>,</w:t>
      </w:r>
      <w:r w:rsidRPr="001A6DEA">
        <w:t xml:space="preserve"> as of February 16, 2024)</w:t>
      </w:r>
      <w:r w:rsidR="00E277A6">
        <w:rPr>
          <w:rStyle w:val="FootnoteReference"/>
        </w:rPr>
        <w:footnoteReference w:id="88"/>
      </w:r>
      <w:r w:rsidRPr="001A6DEA">
        <w:t xml:space="preserve"> calls for the California Legislature to designate November 8, 2024, as "California's First-Generation College Celebration Day" to recognize the significant role of first-generation college students in developing the state's future workforce and to celebrate their achievement</w:t>
      </w:r>
      <w:r w:rsidRPr="001A6DEA">
        <w:rPr>
          <w:lang w:val="en"/>
        </w:rPr>
        <w:t>; and</w:t>
      </w:r>
    </w:p>
    <w:p w14:paraId="0CBA1175" w14:textId="77777777" w:rsidR="001A6DEA" w:rsidRPr="001A6DEA" w:rsidRDefault="001A6DEA" w:rsidP="001A6DEA">
      <w:pPr>
        <w:rPr>
          <w:lang w:val="en"/>
        </w:rPr>
      </w:pPr>
      <w:r w:rsidRPr="001A6DEA">
        <w:rPr>
          <w:lang w:val="en"/>
        </w:rPr>
        <w:t>Whereas, According to the California Community Colleges Chancellor’s Office, 35% of students enrolled in California’s community colleges identify as first generation, highlighting the important role that community colleges play in their educational process;</w:t>
      </w:r>
    </w:p>
    <w:p w14:paraId="593C792A" w14:textId="59BCB4A6" w:rsidR="001A6DEA" w:rsidRPr="001A6DEA" w:rsidRDefault="001A6DEA" w:rsidP="001A6DEA">
      <w:pPr>
        <w:rPr>
          <w:lang w:val="en"/>
        </w:rPr>
      </w:pPr>
      <w:r w:rsidRPr="001A6DEA">
        <w:rPr>
          <w:lang w:val="en"/>
        </w:rPr>
        <w:t>Resolved, That the Academic Senate for California Community Colleges support the passage of ACR 147</w:t>
      </w:r>
      <w:r w:rsidR="00853C16">
        <w:rPr>
          <w:lang w:val="en"/>
        </w:rPr>
        <w:t xml:space="preserve"> </w:t>
      </w:r>
      <w:r w:rsidR="00853C16" w:rsidRPr="001A6DEA">
        <w:rPr>
          <w:lang w:val="en"/>
        </w:rPr>
        <w:t>(Alvarez</w:t>
      </w:r>
      <w:r w:rsidR="001C4074">
        <w:rPr>
          <w:lang w:val="en"/>
        </w:rPr>
        <w:t>,</w:t>
      </w:r>
      <w:r w:rsidR="00853C16" w:rsidRPr="001A6DEA">
        <w:rPr>
          <w:lang w:val="en"/>
        </w:rPr>
        <w:t xml:space="preserve"> as of February 16, 2024)</w:t>
      </w:r>
      <w:r w:rsidRPr="001A6DEA">
        <w:rPr>
          <w:vertAlign w:val="superscript"/>
          <w:lang w:val="en"/>
        </w:rPr>
        <w:footnoteReference w:id="89"/>
      </w:r>
      <w:r w:rsidRPr="001A6DEA">
        <w:rPr>
          <w:lang w:val="en"/>
        </w:rPr>
        <w:t xml:space="preserve"> and the designation of November 8, 2024, as "California's First-Generation College Celebration Day" and encourages local senates to actively recognize and celebrate this day; and</w:t>
      </w:r>
    </w:p>
    <w:p w14:paraId="00011AED" w14:textId="77777777" w:rsidR="001A6DEA" w:rsidRPr="001A6DEA" w:rsidRDefault="001A6DEA" w:rsidP="001A6DEA">
      <w:pPr>
        <w:rPr>
          <w:lang w:val="en"/>
        </w:rPr>
      </w:pPr>
      <w:r w:rsidRPr="001A6DEA">
        <w:rPr>
          <w:lang w:val="en"/>
        </w:rPr>
        <w:t>Resolved, That the Academic Senate for California Community Colleges work collaboratively with system partners to develop and enhance programs and services that specifically address the needs of first-generation college students, supporting their access to higher education and fostering their retention and completion rates.</w:t>
      </w:r>
    </w:p>
    <w:p w14:paraId="39EA3DCA" w14:textId="58439EF2" w:rsidR="001A6DEA" w:rsidRDefault="001A6DEA" w:rsidP="001A6DEA">
      <w:pPr>
        <w:rPr>
          <w:lang w:val="en"/>
        </w:rPr>
      </w:pPr>
      <w:r w:rsidRPr="001A6DEA">
        <w:rPr>
          <w:lang w:val="en"/>
        </w:rPr>
        <w:t>Contact: Manuel Velez, ASCCC Executive Committee, ASCCC Legislation and Advocacy Committee</w:t>
      </w:r>
    </w:p>
    <w:p w14:paraId="63668DEA" w14:textId="482B8DCE" w:rsidR="00522BC0" w:rsidRDefault="00522BC0" w:rsidP="001A6DEA">
      <w:pPr>
        <w:rPr>
          <w:lang w:val="en"/>
        </w:rPr>
      </w:pPr>
      <w:r>
        <w:rPr>
          <w:lang w:val="en"/>
        </w:rPr>
        <w:t>Acclamation</w:t>
      </w:r>
    </w:p>
    <w:p w14:paraId="6A5146A5" w14:textId="3FAD90F0" w:rsidR="001A6DEA" w:rsidRPr="001A6DEA" w:rsidRDefault="001A6DEA" w:rsidP="00FC653A">
      <w:pPr>
        <w:pStyle w:val="Heading2"/>
        <w:spacing w:after="240"/>
        <w:rPr>
          <w:lang w:val="en"/>
        </w:rPr>
      </w:pPr>
      <w:bookmarkStart w:id="54" w:name="_Toc162362542"/>
      <w:bookmarkStart w:id="55" w:name="_Toc165038253"/>
      <w:r w:rsidRPr="001A6DEA">
        <w:rPr>
          <w:lang w:val="en"/>
        </w:rPr>
        <w:lastRenderedPageBreak/>
        <w:t>113.03 S24 Support AB 2586 (Alvarez, as of February 14, 2024)</w:t>
      </w:r>
      <w:r w:rsidR="009C447A">
        <w:rPr>
          <w:lang w:val="en"/>
        </w:rPr>
        <w:t>:</w:t>
      </w:r>
      <w:r w:rsidRPr="001A6DEA">
        <w:rPr>
          <w:lang w:val="en"/>
        </w:rPr>
        <w:t xml:space="preserve"> Student Employment</w:t>
      </w:r>
      <w:bookmarkEnd w:id="54"/>
      <w:bookmarkEnd w:id="55"/>
      <w:r w:rsidRPr="001A6DEA">
        <w:rPr>
          <w:lang w:val="en"/>
        </w:rPr>
        <w:t xml:space="preserve"> </w:t>
      </w:r>
    </w:p>
    <w:p w14:paraId="4B102718" w14:textId="45FB1BCA" w:rsidR="001A6DEA" w:rsidRPr="001A6DEA" w:rsidRDefault="001A6DEA" w:rsidP="001A6DEA">
      <w:r w:rsidRPr="001A6DEA">
        <w:t>Whereas, The Academic Senate for California Community Colleges</w:t>
      </w:r>
      <w:r w:rsidRPr="001A6DEA">
        <w:rPr>
          <w:vertAlign w:val="superscript"/>
        </w:rPr>
        <w:footnoteReference w:id="90"/>
      </w:r>
      <w:r w:rsidR="008C0263">
        <w:t xml:space="preserve">, </w:t>
      </w:r>
      <w:r w:rsidRPr="001A6DEA">
        <w:t>the Academic Senate of the California State University</w:t>
      </w:r>
      <w:r w:rsidRPr="001A6DEA">
        <w:rPr>
          <w:vertAlign w:val="superscript"/>
        </w:rPr>
        <w:footnoteReference w:id="91"/>
      </w:r>
      <w:r w:rsidR="00137FD7">
        <w:t xml:space="preserve">, </w:t>
      </w:r>
      <w:r w:rsidRPr="001A6DEA">
        <w:t>the University of California Academic Senate</w:t>
      </w:r>
      <w:r w:rsidRPr="001A6DEA">
        <w:rPr>
          <w:vertAlign w:val="superscript"/>
        </w:rPr>
        <w:footnoteReference w:id="92"/>
      </w:r>
      <w:r w:rsidR="00137FD7">
        <w:t>,</w:t>
      </w:r>
      <w:r w:rsidRPr="001A6DEA">
        <w:t xml:space="preserve"> and the Intersegmental Committee of the Academic Senates</w:t>
      </w:r>
      <w:r w:rsidRPr="001A6DEA">
        <w:rPr>
          <w:vertAlign w:val="superscript"/>
        </w:rPr>
        <w:footnoteReference w:id="93"/>
      </w:r>
      <w:r w:rsidRPr="001A6DEA">
        <w:t xml:space="preserve"> have advocated in support of undocumented students, particularly students with Deferred Action for Childhood Arrivals (DACA);</w:t>
      </w:r>
    </w:p>
    <w:p w14:paraId="45B8A6EC" w14:textId="33C899AE" w:rsidR="001A6DEA" w:rsidRPr="001A6DEA" w:rsidRDefault="001A6DEA" w:rsidP="001A6DEA">
      <w:r w:rsidRPr="001A6DEA">
        <w:t>Whereas, On September 13, 2023, D</w:t>
      </w:r>
      <w:r w:rsidR="00A119A4">
        <w:t xml:space="preserve">eferred </w:t>
      </w:r>
      <w:r w:rsidRPr="001A6DEA">
        <w:t>A</w:t>
      </w:r>
      <w:r w:rsidR="00A119A4">
        <w:t xml:space="preserve">ction for </w:t>
      </w:r>
      <w:r w:rsidRPr="001A6DEA">
        <w:t>C</w:t>
      </w:r>
      <w:r w:rsidR="00A119A4">
        <w:t xml:space="preserve">hildhood </w:t>
      </w:r>
      <w:r w:rsidRPr="001A6DEA">
        <w:t>A</w:t>
      </w:r>
      <w:r w:rsidR="00A119A4">
        <w:t>rrivals (DACA)</w:t>
      </w:r>
      <w:r w:rsidRPr="001A6DEA">
        <w:t xml:space="preserve"> was found unlawful, though, for the time being, current grants of DACA remain valid until they expire</w:t>
      </w:r>
      <w:r w:rsidRPr="001A6DEA">
        <w:rPr>
          <w:vertAlign w:val="superscript"/>
        </w:rPr>
        <w:footnoteReference w:id="94"/>
      </w:r>
      <w:r w:rsidRPr="001A6DEA">
        <w:t xml:space="preserve"> and work authorization continues and can be renewed for existing DACA recipients</w:t>
      </w:r>
      <w:r w:rsidRPr="001A6DEA">
        <w:rPr>
          <w:vertAlign w:val="superscript"/>
        </w:rPr>
        <w:footnoteReference w:id="95"/>
      </w:r>
      <w:r w:rsidR="009D5293">
        <w:t>;</w:t>
      </w:r>
    </w:p>
    <w:p w14:paraId="57E89874" w14:textId="334BB441" w:rsidR="001A6DEA" w:rsidRPr="001A6DEA" w:rsidRDefault="001A6DEA" w:rsidP="001A6DEA">
      <w:r w:rsidRPr="001A6DEA">
        <w:t xml:space="preserve">Whereas, </w:t>
      </w:r>
      <w:bookmarkStart w:id="56" w:name="_Hlk161786302"/>
      <w:bookmarkStart w:id="57" w:name="_Hlk161786766"/>
      <w:r w:rsidRPr="001A6DEA">
        <w:t>AB 2586 (Alvarez, as of February 14, 2024</w:t>
      </w:r>
      <w:bookmarkEnd w:id="56"/>
      <w:r w:rsidRPr="001A6DEA">
        <w:t>)</w:t>
      </w:r>
      <w:bookmarkEnd w:id="57"/>
      <w:r w:rsidR="00662571">
        <w:rPr>
          <w:rStyle w:val="FootnoteReference"/>
        </w:rPr>
        <w:footnoteReference w:id="96"/>
      </w:r>
      <w:r w:rsidRPr="001A6DEA">
        <w:t xml:space="preserve"> will provide equal access to campus employment opportunities for all students, regardless of their immigration status, at the University of California, California State University, and California Community Colleges campuses by removing any of their current restrictions on the premise that federal prohibitions on hiring undocumented workers are inapplicable because those prohibitions do not state that they apply to state governments</w:t>
      </w:r>
      <w:r w:rsidRPr="001A6DEA">
        <w:rPr>
          <w:vertAlign w:val="superscript"/>
        </w:rPr>
        <w:footnoteReference w:id="97"/>
      </w:r>
      <w:r w:rsidRPr="001A6DEA">
        <w:t>; and</w:t>
      </w:r>
    </w:p>
    <w:p w14:paraId="112D897D" w14:textId="77777777" w:rsidR="001A6DEA" w:rsidRPr="001A6DEA" w:rsidRDefault="001A6DEA" w:rsidP="001A6DEA">
      <w:r w:rsidRPr="001A6DEA">
        <w:t xml:space="preserve">Whereas, Support for AB 2586 (Alvarez, as of February 14, 2024) by the Academic Senate for California Community Colleges, out of concern for the ability of their undocumented students to succeed in the California community colleges and when they transfer to a four-year university, </w:t>
      </w:r>
      <w:r w:rsidRPr="001A6DEA">
        <w:lastRenderedPageBreak/>
        <w:t>would be consistent with several previous resolutions that pertained to our students once they transferred</w:t>
      </w:r>
      <w:r w:rsidRPr="001A6DEA">
        <w:rPr>
          <w:vertAlign w:val="superscript"/>
        </w:rPr>
        <w:footnoteReference w:id="98"/>
      </w:r>
      <w:r w:rsidRPr="001A6DEA">
        <w:t>;</w:t>
      </w:r>
    </w:p>
    <w:p w14:paraId="1B0030BE" w14:textId="0597C27C" w:rsidR="001A6DEA" w:rsidRPr="001A6DEA" w:rsidRDefault="001A6DEA" w:rsidP="001A6DEA">
      <w:r w:rsidRPr="001A6DEA">
        <w:t>Resolved, That the Academic Senate for California Community Colleges support AB 2586</w:t>
      </w:r>
      <w:r w:rsidR="006A79A4">
        <w:t xml:space="preserve"> </w:t>
      </w:r>
      <w:r w:rsidR="006A79A4" w:rsidRPr="001A6DEA">
        <w:t xml:space="preserve">(Alvarez, as </w:t>
      </w:r>
      <w:r w:rsidR="006A79A4">
        <w:t>of</w:t>
      </w:r>
      <w:r w:rsidR="006A79A4" w:rsidRPr="001A6DEA">
        <w:t xml:space="preserve"> February 14, 2024)</w:t>
      </w:r>
      <w:r w:rsidRPr="001A6DEA">
        <w:rPr>
          <w:vertAlign w:val="superscript"/>
        </w:rPr>
        <w:footnoteReference w:id="99"/>
      </w:r>
      <w:r w:rsidRPr="001A6DEA">
        <w:t xml:space="preserve"> to provide equal access to campus employment opportunities for all students, regardless of their immigration status, as it pertains to the California Community Colleges.</w:t>
      </w:r>
    </w:p>
    <w:p w14:paraId="715AA291" w14:textId="77777777" w:rsidR="001A6DEA" w:rsidRDefault="001A6DEA" w:rsidP="001A6DEA">
      <w:r w:rsidRPr="001A6DEA">
        <w:t>Contact: Jeffrey Hernandez, Los Angeles Community College District, Area C</w:t>
      </w:r>
    </w:p>
    <w:p w14:paraId="1D43F928" w14:textId="4D63A076" w:rsidR="00B765DA" w:rsidRPr="001A6DEA" w:rsidRDefault="0088745E" w:rsidP="001A6DEA">
      <w:r>
        <w:t>Acclamation</w:t>
      </w:r>
    </w:p>
    <w:p w14:paraId="40142DFE" w14:textId="77777777" w:rsidR="009508C3" w:rsidRDefault="009508C3" w:rsidP="00582E92">
      <w:pPr>
        <w:pStyle w:val="paragraph"/>
        <w:spacing w:before="0" w:beforeAutospacing="0" w:after="0" w:afterAutospacing="0"/>
        <w:textAlignment w:val="baseline"/>
        <w:rPr>
          <w:rStyle w:val="normaltextrun"/>
          <w:rFonts w:asciiTheme="minorHAnsi" w:hAnsiTheme="minorHAnsi" w:cstheme="minorHAnsi"/>
        </w:rPr>
      </w:pPr>
    </w:p>
    <w:p w14:paraId="7ABA3D47" w14:textId="77777777" w:rsidR="009508C3" w:rsidRPr="008C1C47" w:rsidRDefault="009508C3" w:rsidP="00582E92">
      <w:pPr>
        <w:pStyle w:val="paragraph"/>
        <w:spacing w:before="0" w:beforeAutospacing="0" w:after="0" w:afterAutospacing="0"/>
        <w:textAlignment w:val="baseline"/>
        <w:rPr>
          <w:rFonts w:asciiTheme="minorHAnsi" w:hAnsiTheme="minorHAnsi" w:cstheme="minorHAnsi"/>
        </w:rPr>
      </w:pPr>
    </w:p>
    <w:p w14:paraId="634B6E97" w14:textId="5A66FDD4" w:rsidR="001A6DEA" w:rsidRPr="001A6DEA" w:rsidRDefault="001A6DEA" w:rsidP="00FC653A">
      <w:pPr>
        <w:pStyle w:val="Heading2"/>
        <w:spacing w:after="240"/>
        <w:rPr>
          <w:lang w:val="en"/>
        </w:rPr>
      </w:pPr>
      <w:bookmarkStart w:id="58" w:name="_Toc162362543"/>
      <w:bookmarkStart w:id="59" w:name="_Toc165038254"/>
      <w:r w:rsidRPr="001A6DEA">
        <w:rPr>
          <w:lang w:val="en"/>
        </w:rPr>
        <w:t xml:space="preserve">113.04 S24 Support AB 2093 (Santiago, as of March 6, 2024) to </w:t>
      </w:r>
      <w:bookmarkStart w:id="60" w:name="_Hlk161786774"/>
      <w:r w:rsidRPr="001A6DEA">
        <w:rPr>
          <w:lang w:val="en"/>
        </w:rPr>
        <w:t>Extend College Promise to California Community College Baccalaureate Degree Students</w:t>
      </w:r>
      <w:bookmarkEnd w:id="58"/>
      <w:bookmarkEnd w:id="59"/>
      <w:bookmarkEnd w:id="60"/>
    </w:p>
    <w:p w14:paraId="5FDE8A65" w14:textId="77777777" w:rsidR="001A6DEA" w:rsidRPr="001A6DEA" w:rsidRDefault="001A6DEA" w:rsidP="001A6DEA">
      <w:r w:rsidRPr="001A6DEA">
        <w:t>Whereas, The Academic Senate for California Community Colleges has long maintained a fundamental stance in opposition to mandatory student fees</w:t>
      </w:r>
      <w:r w:rsidRPr="001A6DEA">
        <w:rPr>
          <w:vertAlign w:val="superscript"/>
        </w:rPr>
        <w:footnoteReference w:id="100"/>
      </w:r>
      <w:r w:rsidRPr="001A6DEA">
        <w:t xml:space="preserve"> and advocated for the lowest possible student fees to maximize student access</w:t>
      </w:r>
      <w:r w:rsidRPr="001A6DEA">
        <w:rPr>
          <w:vertAlign w:val="superscript"/>
        </w:rPr>
        <w:footnoteReference w:id="101"/>
      </w:r>
      <w:r w:rsidRPr="001A6DEA">
        <w:t xml:space="preserve">; </w:t>
      </w:r>
    </w:p>
    <w:p w14:paraId="777021F9" w14:textId="77777777" w:rsidR="001A6DEA" w:rsidRPr="001A6DEA" w:rsidRDefault="001A6DEA" w:rsidP="001A6DEA">
      <w:r w:rsidRPr="001A6DEA">
        <w:t>Whereas, The California College Promise allows community colleges to waive enrollment fees for two academic years for full-time students who have submitted a Free Application for Federal Student Aid or a California Dream Act application</w:t>
      </w:r>
      <w:r w:rsidRPr="001A6DEA">
        <w:rPr>
          <w:vertAlign w:val="superscript"/>
        </w:rPr>
        <w:footnoteReference w:id="102"/>
      </w:r>
      <w:r w:rsidRPr="001A6DEA">
        <w:t>;</w:t>
      </w:r>
    </w:p>
    <w:p w14:paraId="23D45322" w14:textId="77777777" w:rsidR="001A6DEA" w:rsidRPr="001A6DEA" w:rsidRDefault="001A6DEA" w:rsidP="001A6DEA">
      <w:r w:rsidRPr="001A6DEA">
        <w:t>Whereas, The Academic Senate for California Community Colleges adopted Resolution 06.06 S21 in support of the permanent establishment of the baccalaureate degree programs in the California community colleges</w:t>
      </w:r>
      <w:r w:rsidRPr="001A6DEA">
        <w:rPr>
          <w:vertAlign w:val="superscript"/>
        </w:rPr>
        <w:footnoteReference w:id="103"/>
      </w:r>
      <w:r w:rsidRPr="001A6DEA">
        <w:t>, and therefore it is vital that enrollment fee waivers be extended to baccalaureate degree program students; and</w:t>
      </w:r>
    </w:p>
    <w:p w14:paraId="2385F4A1" w14:textId="77777777" w:rsidR="001A6DEA" w:rsidRPr="001A6DEA" w:rsidRDefault="001A6DEA" w:rsidP="001A6DEA">
      <w:r w:rsidRPr="001A6DEA">
        <w:lastRenderedPageBreak/>
        <w:t>Whereas, AB 2093 (Santiago, as of March 6, 2024) “would extend the term of eligibility of the California College Promise for an additional 2 academic years for first-time community college students and returning community college students who matriculate into upper division coursework of a community college baccalaureate degree program”</w:t>
      </w:r>
      <w:r w:rsidRPr="001A6DEA">
        <w:rPr>
          <w:vertAlign w:val="superscript"/>
        </w:rPr>
        <w:t xml:space="preserve"> </w:t>
      </w:r>
      <w:r w:rsidRPr="001A6DEA">
        <w:rPr>
          <w:vertAlign w:val="superscript"/>
        </w:rPr>
        <w:footnoteReference w:id="104"/>
      </w:r>
      <w:r w:rsidRPr="001A6DEA">
        <w:t>;</w:t>
      </w:r>
    </w:p>
    <w:p w14:paraId="65067D95" w14:textId="56B984C1" w:rsidR="001A6DEA" w:rsidRPr="001A6DEA" w:rsidRDefault="001A6DEA" w:rsidP="001A6DEA">
      <w:r w:rsidRPr="001A6DEA">
        <w:t>Resolved, That the Academic Senate for California Community Colleges support AB 2093</w:t>
      </w:r>
      <w:r w:rsidR="006A79A4">
        <w:t xml:space="preserve"> </w:t>
      </w:r>
      <w:r w:rsidR="006A79A4" w:rsidRPr="001A6DEA">
        <w:t xml:space="preserve">(Santiago, as </w:t>
      </w:r>
      <w:r w:rsidR="006A79A4">
        <w:t>of</w:t>
      </w:r>
      <w:r w:rsidR="006A79A4" w:rsidRPr="001A6DEA">
        <w:t xml:space="preserve"> March 6, 2024</w:t>
      </w:r>
      <w:r w:rsidR="006A79A4">
        <w:t>)</w:t>
      </w:r>
      <w:r w:rsidRPr="001A6DEA">
        <w:rPr>
          <w:vertAlign w:val="superscript"/>
        </w:rPr>
        <w:footnoteReference w:id="105"/>
      </w:r>
      <w:r w:rsidR="006A79A4">
        <w:t xml:space="preserve"> </w:t>
      </w:r>
      <w:r w:rsidRPr="001A6DEA">
        <w:t>to extend the California College Promise to students taking upper division courses in a baccalaureate degree program at a California community college.</w:t>
      </w:r>
    </w:p>
    <w:p w14:paraId="450CA6B4" w14:textId="77777777" w:rsidR="001A6DEA" w:rsidRDefault="001A6DEA" w:rsidP="001A6DEA">
      <w:r w:rsidRPr="001A6DEA">
        <w:t>Contact: Jeffrey Hernandez, Los Angeles Community College District, Area C</w:t>
      </w:r>
    </w:p>
    <w:p w14:paraId="5774C87C" w14:textId="5795588D" w:rsidR="00D213CD" w:rsidRDefault="00D213CD" w:rsidP="001A6DEA">
      <w:r>
        <w:t>MSU</w:t>
      </w:r>
    </w:p>
    <w:p w14:paraId="44898A24" w14:textId="77777777" w:rsidR="009006B4" w:rsidRDefault="009006B4" w:rsidP="001A6DEA"/>
    <w:p w14:paraId="78088CAC" w14:textId="77777777" w:rsidR="00B15274" w:rsidRDefault="00B15274" w:rsidP="001A6DEA"/>
    <w:p w14:paraId="3968A611" w14:textId="77777777" w:rsidR="00B15274" w:rsidRDefault="00B15274" w:rsidP="001A6DEA"/>
    <w:p w14:paraId="11641E9C" w14:textId="3F94DE22" w:rsidR="001A6DEA" w:rsidRPr="001A6DEA" w:rsidRDefault="001A6DEA" w:rsidP="00FC653A">
      <w:pPr>
        <w:pStyle w:val="Heading2"/>
        <w:spacing w:after="240"/>
        <w:rPr>
          <w:lang w:val="en"/>
        </w:rPr>
      </w:pPr>
      <w:bookmarkStart w:id="61" w:name="_Toc162362544"/>
      <w:bookmarkStart w:id="62" w:name="_Toc165038255"/>
      <w:r w:rsidRPr="001A6DEA">
        <w:rPr>
          <w:lang w:val="en"/>
        </w:rPr>
        <w:t>113.05 S24 Support AB 2407 (Hart</w:t>
      </w:r>
      <w:r w:rsidR="00EE273E">
        <w:rPr>
          <w:lang w:val="en"/>
        </w:rPr>
        <w:t>,</w:t>
      </w:r>
      <w:r w:rsidRPr="001A6DEA">
        <w:rPr>
          <w:lang w:val="en"/>
        </w:rPr>
        <w:t xml:space="preserve"> as of February 12, 2024) on Sexual Harassment Complaints</w:t>
      </w:r>
      <w:bookmarkEnd w:id="61"/>
      <w:bookmarkEnd w:id="62"/>
    </w:p>
    <w:p w14:paraId="48F70AA2" w14:textId="77777777" w:rsidR="001A6DEA" w:rsidRPr="001A6DEA" w:rsidRDefault="001A6DEA" w:rsidP="001A6DEA">
      <w:pPr>
        <w:rPr>
          <w:lang w:val="en"/>
        </w:rPr>
      </w:pPr>
      <w:r w:rsidRPr="001A6DEA">
        <w:rPr>
          <w:lang w:val="en"/>
        </w:rPr>
        <w:t>Whereas, The recent cases of sexual harassment in the California State University (CSU) system and the California Community Colleges (CCCs) have demonstrated the need for external oversight in the handling of Title IX complaints, have resulted in costly legal actions that divert precious resources away from serving students, and have led to legislation which requires annual reporting to the legislature by the CSUs, such as SB 808 (Dodd, 2023)</w:t>
      </w:r>
      <w:r w:rsidRPr="001A6DEA">
        <w:rPr>
          <w:vertAlign w:val="superscript"/>
          <w:lang w:val="en"/>
        </w:rPr>
        <w:footnoteReference w:id="106"/>
      </w:r>
      <w:r w:rsidRPr="001A6DEA">
        <w:rPr>
          <w:vertAlign w:val="superscript"/>
          <w:lang w:val="en"/>
        </w:rPr>
        <w:t>,</w:t>
      </w:r>
      <w:r w:rsidRPr="001A6DEA">
        <w:rPr>
          <w:vertAlign w:val="superscript"/>
          <w:lang w:val="en"/>
        </w:rPr>
        <w:footnoteReference w:id="107"/>
      </w:r>
      <w:r w:rsidRPr="001A6DEA">
        <w:rPr>
          <w:lang w:val="en"/>
        </w:rPr>
        <w:t xml:space="preserve">, and external oversight is recommended of the CCC, CSU, and UC systems in </w:t>
      </w:r>
      <w:r w:rsidRPr="00CB5184">
        <w:rPr>
          <w:i/>
          <w:iCs/>
          <w:lang w:val="en"/>
        </w:rPr>
        <w:t>A Call to Action Report 2024</w:t>
      </w:r>
      <w:r w:rsidRPr="001A6DEA">
        <w:rPr>
          <w:lang w:val="en"/>
        </w:rPr>
        <w:t xml:space="preserve"> by the Chair of the Assembly Higher Education Committee</w:t>
      </w:r>
      <w:r w:rsidRPr="001A6DEA">
        <w:rPr>
          <w:vertAlign w:val="superscript"/>
          <w:lang w:val="en"/>
        </w:rPr>
        <w:footnoteReference w:id="108"/>
      </w:r>
      <w:r w:rsidRPr="001A6DEA">
        <w:rPr>
          <w:lang w:val="en"/>
        </w:rPr>
        <w:t xml:space="preserve">; </w:t>
      </w:r>
    </w:p>
    <w:p w14:paraId="485FB906" w14:textId="77777777" w:rsidR="001A6DEA" w:rsidRPr="001A6DEA" w:rsidRDefault="001A6DEA" w:rsidP="001A6DEA">
      <w:pPr>
        <w:rPr>
          <w:lang w:val="en"/>
        </w:rPr>
      </w:pPr>
      <w:r w:rsidRPr="001A6DEA">
        <w:rPr>
          <w:lang w:val="en"/>
        </w:rPr>
        <w:t xml:space="preserve">Whereas, Students are deprived of safe, equal, and free access to an education when they are subjected to sexual harassment or misconduct, including (but not limited to) sexual assault, sexual coercion, dating violence, domestic violence, stalking, cyber-stalking, retaliation, isolation, and other forms of discrimination based on gender and hate crimes based on gender, </w:t>
      </w:r>
      <w:r w:rsidRPr="001A6DEA">
        <w:rPr>
          <w:lang w:val="en"/>
        </w:rPr>
        <w:lastRenderedPageBreak/>
        <w:t xml:space="preserve">and the </w:t>
      </w:r>
      <w:r w:rsidRPr="00C764B0">
        <w:rPr>
          <w:i/>
          <w:iCs/>
          <w:lang w:val="en"/>
        </w:rPr>
        <w:t>Vision 2030: A Roadmap for California Community Colleges</w:t>
      </w:r>
      <w:r w:rsidRPr="001A6DEA">
        <w:rPr>
          <w:vertAlign w:val="superscript"/>
          <w:lang w:val="en"/>
        </w:rPr>
        <w:footnoteReference w:id="109"/>
      </w:r>
      <w:r w:rsidRPr="001A6DEA">
        <w:rPr>
          <w:lang w:val="en"/>
        </w:rPr>
        <w:t xml:space="preserve"> calls for a “Ninth-Grade Strategy” in which all California high school students enroll in community college and complete high school with at least 12 units of dual enrollment credit, including college and career access pathways courses, and will result in a large increase in the number of under-aged students in college classrooms and faculty often become the first point of contact for the students when sexual harassment or misconduct occurs; </w:t>
      </w:r>
    </w:p>
    <w:p w14:paraId="1B4A02A9" w14:textId="20E1FC02" w:rsidR="001A6DEA" w:rsidRPr="001A6DEA" w:rsidRDefault="001A6DEA" w:rsidP="001A6DEA">
      <w:pPr>
        <w:rPr>
          <w:lang w:val="en"/>
        </w:rPr>
      </w:pPr>
      <w:r w:rsidRPr="001A6DEA">
        <w:rPr>
          <w:lang w:val="en"/>
        </w:rPr>
        <w:t>Whereas, Assembly Bill 2407 (Hart</w:t>
      </w:r>
      <w:r w:rsidR="00DC2CB7">
        <w:rPr>
          <w:lang w:val="en"/>
        </w:rPr>
        <w:t>,</w:t>
      </w:r>
      <w:r w:rsidRPr="001A6DEA">
        <w:rPr>
          <w:lang w:val="en"/>
        </w:rPr>
        <w:t xml:space="preserve"> as of February 12, 2024)</w:t>
      </w:r>
      <w:r w:rsidR="0099225E">
        <w:rPr>
          <w:rStyle w:val="FootnoteReference"/>
          <w:lang w:val="en"/>
        </w:rPr>
        <w:footnoteReference w:id="110"/>
      </w:r>
      <w:r w:rsidRPr="001A6DEA">
        <w:rPr>
          <w:lang w:val="en"/>
        </w:rPr>
        <w:t>, aims to address sexual harassment complaints in public postsecondary educational institutions in the state and ensure timely, fair, and impartial investigations of such complaints, which aligns with the Academic Senate for California Community Colleges' Fall 2023 Resolution 13.01 Prioritizing the Prevention of Sexual Harassment and Discrimination at California Community Colleges Campuses</w:t>
      </w:r>
      <w:r w:rsidRPr="001A6DEA">
        <w:rPr>
          <w:vertAlign w:val="superscript"/>
          <w:lang w:val="en"/>
        </w:rPr>
        <w:footnoteReference w:id="111"/>
      </w:r>
      <w:r w:rsidRPr="001A6DEA">
        <w:rPr>
          <w:lang w:val="en"/>
        </w:rPr>
        <w:t xml:space="preserve"> as well as its commitment to promoting equity, inclusion, and a safe educational environment for all members of the community college system, including protection from retaliation for reporting alleged sexual misconduct; and</w:t>
      </w:r>
    </w:p>
    <w:p w14:paraId="0154BAF5" w14:textId="77777777" w:rsidR="001A6DEA" w:rsidRPr="001A6DEA" w:rsidRDefault="001A6DEA" w:rsidP="001A6DEA">
      <w:pPr>
        <w:rPr>
          <w:lang w:val="en"/>
        </w:rPr>
      </w:pPr>
      <w:r w:rsidRPr="001A6DEA">
        <w:rPr>
          <w:lang w:val="en"/>
        </w:rPr>
        <w:t>Whereas, A position of support for AB 2407 would be consistent with past positions of Academic Senate for California Community Colleges addressing concerns about our students who transfer to the CSUs and UCs</w:t>
      </w:r>
      <w:r w:rsidRPr="001A6DEA">
        <w:rPr>
          <w:vertAlign w:val="superscript"/>
          <w:lang w:val="en"/>
        </w:rPr>
        <w:footnoteReference w:id="112"/>
      </w:r>
      <w:r w:rsidRPr="001A6DEA">
        <w:rPr>
          <w:lang w:val="en"/>
        </w:rPr>
        <w:t>, have other implications for the CSUs and UCs</w:t>
      </w:r>
      <w:r w:rsidRPr="001A6DEA">
        <w:rPr>
          <w:vertAlign w:val="superscript"/>
          <w:lang w:val="en"/>
        </w:rPr>
        <w:footnoteReference w:id="113"/>
      </w:r>
      <w:r w:rsidRPr="001A6DEA">
        <w:rPr>
          <w:lang w:val="en"/>
        </w:rPr>
        <w:t>, and have called for audits to ensure compliance on priority matters</w:t>
      </w:r>
      <w:r w:rsidRPr="001A6DEA">
        <w:rPr>
          <w:vertAlign w:val="superscript"/>
          <w:lang w:val="en"/>
        </w:rPr>
        <w:footnoteReference w:id="114"/>
      </w:r>
      <w:r w:rsidRPr="001A6DEA">
        <w:rPr>
          <w:lang w:val="en"/>
        </w:rPr>
        <w:t>, and the ASCCC prioritized the prevention of Sexual Harassment and Discrimination at the California Community College Campuses at the Fall 2023 plenary</w:t>
      </w:r>
      <w:r w:rsidRPr="001A6DEA">
        <w:rPr>
          <w:vertAlign w:val="superscript"/>
          <w:lang w:val="en"/>
        </w:rPr>
        <w:footnoteReference w:id="115"/>
      </w:r>
      <w:r w:rsidRPr="001A6DEA">
        <w:rPr>
          <w:lang w:val="en"/>
        </w:rPr>
        <w:t xml:space="preserve">; </w:t>
      </w:r>
    </w:p>
    <w:p w14:paraId="4CB83951" w14:textId="37337F90" w:rsidR="00501B7F" w:rsidRDefault="001A6DEA" w:rsidP="001A6DEA">
      <w:r w:rsidRPr="001A6DEA">
        <w:lastRenderedPageBreak/>
        <w:t>Resolved, That the Academic Senate for California Community Colleges support AB 2407</w:t>
      </w:r>
      <w:r w:rsidR="00C41679">
        <w:t xml:space="preserve"> </w:t>
      </w:r>
      <w:r w:rsidR="00C41679" w:rsidRPr="001A6DEA">
        <w:t>(Hart</w:t>
      </w:r>
      <w:r w:rsidR="00EE273E">
        <w:t>,</w:t>
      </w:r>
      <w:r w:rsidR="00C41679" w:rsidRPr="001A6DEA">
        <w:t xml:space="preserve"> as of February 12, 2024)</w:t>
      </w:r>
      <w:r w:rsidRPr="001A6DEA">
        <w:rPr>
          <w:vertAlign w:val="superscript"/>
        </w:rPr>
        <w:footnoteReference w:id="116"/>
      </w:r>
      <w:r w:rsidRPr="001A6DEA">
        <w:t xml:space="preserve"> as it pertains to requiring the California State Auditor to conduct audits of the California Community Colleges regarding their handling and investigation of sexual harassment complaints</w:t>
      </w:r>
      <w:r w:rsidR="00501B7F">
        <w:t>.</w:t>
      </w:r>
    </w:p>
    <w:p w14:paraId="2D6AF19B" w14:textId="5EBB9406" w:rsidR="001A6DEA" w:rsidRDefault="001A6DEA" w:rsidP="001A6DEA">
      <w:pPr>
        <w:rPr>
          <w:lang w:val="en"/>
        </w:rPr>
      </w:pPr>
      <w:r w:rsidRPr="001A6DEA">
        <w:rPr>
          <w:lang w:val="en"/>
        </w:rPr>
        <w:t>Contact: Angela Echeverri, Los Angeles Community College District, Area C</w:t>
      </w:r>
    </w:p>
    <w:p w14:paraId="35DFFF41" w14:textId="011CF957" w:rsidR="00522EDE" w:rsidRDefault="001023B0" w:rsidP="001A6DEA">
      <w:pPr>
        <w:rPr>
          <w:lang w:val="en"/>
        </w:rPr>
      </w:pPr>
      <w:r>
        <w:rPr>
          <w:lang w:val="en"/>
        </w:rPr>
        <w:t>MS</w:t>
      </w:r>
      <w:r w:rsidR="008661A4">
        <w:rPr>
          <w:lang w:val="en"/>
        </w:rPr>
        <w:t>C</w:t>
      </w:r>
    </w:p>
    <w:p w14:paraId="606DB9FB" w14:textId="77777777" w:rsidR="00B15274" w:rsidRPr="001A6DEA" w:rsidRDefault="00B15274" w:rsidP="001A6DEA">
      <w:pPr>
        <w:rPr>
          <w:lang w:val="en"/>
        </w:rPr>
      </w:pPr>
    </w:p>
    <w:p w14:paraId="508648E1" w14:textId="70120E7A" w:rsidR="001A6DEA" w:rsidRPr="001A6DEA" w:rsidRDefault="001A6DEA" w:rsidP="00FC653A">
      <w:pPr>
        <w:pStyle w:val="Heading2"/>
        <w:spacing w:after="240"/>
        <w:rPr>
          <w:lang w:val="en"/>
        </w:rPr>
      </w:pPr>
      <w:bookmarkStart w:id="63" w:name="_Toc162362545"/>
      <w:bookmarkStart w:id="64" w:name="_Toc165038256"/>
      <w:r w:rsidRPr="001A6DEA">
        <w:rPr>
          <w:lang w:val="en"/>
        </w:rPr>
        <w:t>113.06 S24 In Support of Documented Dreamers</w:t>
      </w:r>
      <w:bookmarkEnd w:id="63"/>
      <w:bookmarkEnd w:id="64"/>
    </w:p>
    <w:p w14:paraId="4AA6CBDC" w14:textId="0E2DDAC8" w:rsidR="001A6DEA" w:rsidRPr="001A6DEA" w:rsidRDefault="001A6DEA" w:rsidP="001A6DEA">
      <w:r w:rsidRPr="001A6DEA">
        <w:t>Whereas,</w:t>
      </w:r>
      <w:r w:rsidRPr="001A6DEA">
        <w:rPr>
          <w:b/>
          <w:bCs/>
        </w:rPr>
        <w:t xml:space="preserve"> </w:t>
      </w:r>
      <w:r w:rsidRPr="001A6DEA">
        <w:t xml:space="preserve">Documented </w:t>
      </w:r>
      <w:r w:rsidR="003467F2">
        <w:t>Dreamers</w:t>
      </w:r>
      <w:r w:rsidRPr="001A6DEA">
        <w:t>, or dependents of long-term employment-based visa-holders, who reach the age of 21 “must obtain another status or leave behind their families—and the only country they have ever known—to return to their country of birth” and “lose their status and opportunity for legal residency or citizenship”</w:t>
      </w:r>
      <w:r w:rsidRPr="001A6DEA">
        <w:rPr>
          <w:vertAlign w:val="superscript"/>
        </w:rPr>
        <w:footnoteReference w:id="117"/>
      </w:r>
      <w:r w:rsidRPr="001A6DEA">
        <w:t>;</w:t>
      </w:r>
    </w:p>
    <w:p w14:paraId="7BE794E1" w14:textId="0DB6E5E5" w:rsidR="001A6DEA" w:rsidRPr="001A6DEA" w:rsidRDefault="001A6DEA" w:rsidP="001A6DEA">
      <w:r w:rsidRPr="001A6DEA">
        <w:t xml:space="preserve">Whereas, </w:t>
      </w:r>
      <w:r w:rsidR="00A410F3">
        <w:t>Documented Dreamers</w:t>
      </w:r>
      <w:r w:rsidRPr="001A6DEA">
        <w:t xml:space="preserve"> students then must return to our colleges as international students, paying international fees, while unable to legally work in the U.S. or obtain federal or state financial aid; and</w:t>
      </w:r>
    </w:p>
    <w:p w14:paraId="7E477365" w14:textId="406B96D0" w:rsidR="001A6DEA" w:rsidRPr="001A6DEA" w:rsidRDefault="001A6DEA" w:rsidP="001A6DEA">
      <w:r w:rsidRPr="001A6DEA">
        <w:t xml:space="preserve">Whereas, </w:t>
      </w:r>
      <w:r w:rsidR="005532F5">
        <w:t>D</w:t>
      </w:r>
      <w:r w:rsidRPr="001A6DEA">
        <w:t xml:space="preserve">ocumented </w:t>
      </w:r>
      <w:r w:rsidR="003467F2">
        <w:t>Dreamers</w:t>
      </w:r>
      <w:r w:rsidRPr="001A6DEA">
        <w:t>, whose families were invited to move their children to the United States, are lawful residents, and in many cases long-time California students, and are valued members of our colleges who enrich our communities through leadership and service to our campuses and the surrounding areas; </w:t>
      </w:r>
    </w:p>
    <w:p w14:paraId="1622ED0B" w14:textId="77777777" w:rsidR="001A6DEA" w:rsidRPr="001A6DEA" w:rsidRDefault="001A6DEA" w:rsidP="001A6DEA">
      <w:r w:rsidRPr="001A6DEA">
        <w:t>Resolved,</w:t>
      </w:r>
      <w:r w:rsidRPr="001A6DEA">
        <w:rPr>
          <w:b/>
          <w:bCs/>
        </w:rPr>
        <w:t xml:space="preserve"> </w:t>
      </w:r>
      <w:r w:rsidRPr="001A6DEA">
        <w:t>That the Academic Senate of the California Community Colleges support federal legislation that provides a path to citizenship, such as HR 3442 America's Children Act of 2023</w:t>
      </w:r>
      <w:r w:rsidRPr="001A6DEA">
        <w:rPr>
          <w:vertAlign w:val="superscript"/>
        </w:rPr>
        <w:footnoteReference w:id="118"/>
      </w:r>
      <w:r w:rsidRPr="001A6DEA">
        <w:t>, and state legislation that provides financial relief and in-state tuition to the children of U.S. visa holders;</w:t>
      </w:r>
    </w:p>
    <w:p w14:paraId="54EC8281" w14:textId="14B3CC6D" w:rsidR="001A6DEA" w:rsidRPr="001A6DEA" w:rsidRDefault="001A6DEA" w:rsidP="001A6DEA">
      <w:r w:rsidRPr="001A6DEA">
        <w:t xml:space="preserve">Resolved, That the Academic Senate of the California Community Colleges work with the California Community Colleges Chancellor’s Office and the Faculty Association for California Community Colleges to advocate for establishing and/or changing policy to support documented </w:t>
      </w:r>
      <w:r w:rsidR="003467F2">
        <w:t>Dreamers</w:t>
      </w:r>
      <w:r w:rsidRPr="001A6DEA">
        <w:t>’ access to in-state tuition and financial aid and to reduce barriers to community college degree and certificate attainment and transfer; and</w:t>
      </w:r>
    </w:p>
    <w:p w14:paraId="105781F5" w14:textId="785FA88F" w:rsidR="001A6DEA" w:rsidRPr="001A6DEA" w:rsidRDefault="001A6DEA" w:rsidP="001A6DEA">
      <w:r w:rsidRPr="001A6DEA">
        <w:t xml:space="preserve">Resolved, That the Academic Senate of the California Community Colleges work with the Student Senate of the California Community Colleges and system-wide partners to raise </w:t>
      </w:r>
      <w:r w:rsidRPr="001A6DEA">
        <w:lastRenderedPageBreak/>
        <w:t xml:space="preserve">awareness in the California community colleges about the needs and challenges of documented </w:t>
      </w:r>
      <w:r w:rsidR="003467F2">
        <w:t>Dreamers</w:t>
      </w:r>
      <w:r w:rsidRPr="001A6DEA">
        <w:t>.</w:t>
      </w:r>
    </w:p>
    <w:p w14:paraId="0821477C" w14:textId="77777777" w:rsidR="001A6DEA" w:rsidRDefault="001A6DEA" w:rsidP="001A6DEA">
      <w:r w:rsidRPr="001A6DEA">
        <w:t>Contact: Rebecca LaCount, Solano Community College, Area B</w:t>
      </w:r>
    </w:p>
    <w:p w14:paraId="1ECC64A4" w14:textId="3A7ADFA8" w:rsidR="007C3692" w:rsidRDefault="007C3692" w:rsidP="001A6DEA">
      <w:r>
        <w:t>MSU</w:t>
      </w:r>
    </w:p>
    <w:p w14:paraId="22C6E003" w14:textId="77777777" w:rsidR="000B2DAC" w:rsidRDefault="000B2DAC" w:rsidP="001A6DEA"/>
    <w:p w14:paraId="5737B3CD" w14:textId="2104B66C" w:rsidR="00CD5C45" w:rsidRDefault="00CD5C45" w:rsidP="00CD5C45">
      <w:pPr>
        <w:pStyle w:val="Heading2"/>
        <w:spacing w:after="240"/>
        <w:rPr>
          <w:lang w:val="en"/>
        </w:rPr>
      </w:pPr>
      <w:bookmarkStart w:id="65" w:name="_Toc165038257"/>
      <w:r w:rsidRPr="00294B9C">
        <w:rPr>
          <w:lang w:val="en"/>
        </w:rPr>
        <w:t>11</w:t>
      </w:r>
      <w:r>
        <w:rPr>
          <w:lang w:val="en"/>
        </w:rPr>
        <w:t>3</w:t>
      </w:r>
      <w:r w:rsidRPr="00294B9C">
        <w:rPr>
          <w:lang w:val="en"/>
        </w:rPr>
        <w:t>.0</w:t>
      </w:r>
      <w:r>
        <w:rPr>
          <w:lang w:val="en"/>
        </w:rPr>
        <w:t>7</w:t>
      </w:r>
      <w:r w:rsidRPr="00294B9C">
        <w:rPr>
          <w:lang w:val="en"/>
        </w:rPr>
        <w:t xml:space="preserve"> </w:t>
      </w:r>
      <w:r w:rsidR="00314E0A">
        <w:rPr>
          <w:lang w:val="en"/>
        </w:rPr>
        <w:t xml:space="preserve">S24 </w:t>
      </w:r>
      <w:r w:rsidRPr="00294B9C">
        <w:rPr>
          <w:lang w:val="en"/>
        </w:rPr>
        <w:t>E</w:t>
      </w:r>
      <w:r>
        <w:rPr>
          <w:lang w:val="en"/>
        </w:rPr>
        <w:t>xpanding Access to Minority Serving Institution Designation</w:t>
      </w:r>
      <w:bookmarkEnd w:id="65"/>
    </w:p>
    <w:p w14:paraId="0EF99139" w14:textId="3A8AB830" w:rsidR="00CD5C45" w:rsidRPr="00294B9C" w:rsidRDefault="00CD5C45" w:rsidP="00CD5C45">
      <w:r w:rsidRPr="00294B9C">
        <w:t xml:space="preserve">Whereas, An increasing number of higher education institutions meet the requirements for two or more </w:t>
      </w:r>
      <w:r>
        <w:t>minority serving institution (MSI) d</w:t>
      </w:r>
      <w:r w:rsidRPr="00294B9C">
        <w:t>esignations</w:t>
      </w:r>
      <w:r>
        <w:t>,</w:t>
      </w:r>
      <w:r w:rsidRPr="00294B9C">
        <w:t xml:space="preserve"> however</w:t>
      </w:r>
      <w:r>
        <w:t>,</w:t>
      </w:r>
      <w:r w:rsidRPr="00294B9C">
        <w:t xml:space="preserve"> Title III precludes “colleges that already have an MSI-designated grant under Part A (or Title V in the case of HSIs) can</w:t>
      </w:r>
      <w:r w:rsidR="000412C1">
        <w:t>not</w:t>
      </w:r>
      <w:r w:rsidRPr="00294B9C">
        <w:t xml:space="preserve"> apply for another MSI designation under Part A</w:t>
      </w:r>
      <w:r w:rsidRPr="00294B9C">
        <w:rPr>
          <w:vertAlign w:val="superscript"/>
        </w:rPr>
        <w:footnoteReference w:id="119"/>
      </w:r>
      <w:r w:rsidRPr="00294B9C">
        <w:t>, even if they meet the demographic criteria”</w:t>
      </w:r>
      <w:r w:rsidRPr="00294B9C">
        <w:rPr>
          <w:vertAlign w:val="superscript"/>
        </w:rPr>
        <w:footnoteReference w:id="120"/>
      </w:r>
      <w:r w:rsidRPr="00294B9C">
        <w:t>;</w:t>
      </w:r>
    </w:p>
    <w:p w14:paraId="1744F1B4" w14:textId="57CF62D7" w:rsidR="00CD5C45" w:rsidRPr="00294B9C" w:rsidRDefault="00CD5C45" w:rsidP="00CD5C45">
      <w:r w:rsidRPr="00294B9C">
        <w:t xml:space="preserve">Whereas, </w:t>
      </w:r>
      <w:r w:rsidR="0076586E">
        <w:t xml:space="preserve">Currently </w:t>
      </w:r>
      <w:r w:rsidRPr="00294B9C">
        <w:t>192 institutions in the U.S. are eligible to apply for</w:t>
      </w:r>
      <w:r>
        <w:t xml:space="preserve"> Asian American and Native American Pacific Islander-Serving Institution (AANIPISI) </w:t>
      </w:r>
      <w:r w:rsidRPr="00294B9C">
        <w:t>funding but only 32 currently receive an AANAPISI grant; and</w:t>
      </w:r>
    </w:p>
    <w:p w14:paraId="4AF9507F" w14:textId="77777777" w:rsidR="00CD5C45" w:rsidRPr="00294B9C" w:rsidRDefault="00CD5C45" w:rsidP="00CD5C45">
      <w:r w:rsidRPr="00294B9C">
        <w:t>Whereas, Legislators from around the country have been trying to eliminate these artificial barriers and provide redress to this situation since 2015</w:t>
      </w:r>
      <w:r w:rsidRPr="00294B9C">
        <w:rPr>
          <w:vertAlign w:val="superscript"/>
        </w:rPr>
        <w:footnoteReference w:id="121"/>
      </w:r>
      <w:r w:rsidRPr="00294B9C">
        <w:t xml:space="preserve">; </w:t>
      </w:r>
    </w:p>
    <w:p w14:paraId="5991E443" w14:textId="3E99DF96" w:rsidR="00CD5C45" w:rsidRPr="00DF60B5" w:rsidRDefault="00CD5C45" w:rsidP="00CD5C45">
      <w:pPr>
        <w:rPr>
          <w:lang w:val="en"/>
        </w:rPr>
      </w:pPr>
      <w:r w:rsidRPr="00DF60B5">
        <w:rPr>
          <w:lang w:val="en"/>
        </w:rPr>
        <w:t xml:space="preserve">Resolved, </w:t>
      </w:r>
      <w:r>
        <w:rPr>
          <w:lang w:val="en"/>
        </w:rPr>
        <w:t>T</w:t>
      </w:r>
      <w:r w:rsidRPr="00DF60B5">
        <w:rPr>
          <w:lang w:val="en"/>
        </w:rPr>
        <w:t>hat the Academic Senate for California Community Colleges engage with California’s Federal Congressional Delegation to 1) make Title III and Title V less restrictive; and, 2) enable higher education institutions with multiple minoritized-student populations to be able to receive funding to support</w:t>
      </w:r>
      <w:r w:rsidR="00684B5C">
        <w:rPr>
          <w:lang w:val="en"/>
        </w:rPr>
        <w:t xml:space="preserve"> all of</w:t>
      </w:r>
      <w:r w:rsidRPr="00DF60B5">
        <w:rPr>
          <w:lang w:val="en"/>
        </w:rPr>
        <w:t xml:space="preserve"> them; and</w:t>
      </w:r>
    </w:p>
    <w:p w14:paraId="4CEECD29" w14:textId="25602705" w:rsidR="00CD5C45" w:rsidRPr="00294B9C" w:rsidRDefault="00CD5C45" w:rsidP="00CD5C45">
      <w:pPr>
        <w:rPr>
          <w:lang w:val="en"/>
        </w:rPr>
      </w:pPr>
      <w:r w:rsidRPr="00DF60B5">
        <w:rPr>
          <w:lang w:val="en"/>
        </w:rPr>
        <w:t xml:space="preserve">Resolved, </w:t>
      </w:r>
      <w:r>
        <w:rPr>
          <w:lang w:val="en"/>
        </w:rPr>
        <w:t>T</w:t>
      </w:r>
      <w:r w:rsidRPr="00DF60B5">
        <w:rPr>
          <w:lang w:val="en"/>
        </w:rPr>
        <w:t>hat the Academic Senate for California Community Colleg</w:t>
      </w:r>
      <w:r>
        <w:rPr>
          <w:lang w:val="en"/>
        </w:rPr>
        <w:t xml:space="preserve">e </w:t>
      </w:r>
      <w:r w:rsidRPr="00DF60B5">
        <w:rPr>
          <w:lang w:val="en"/>
        </w:rPr>
        <w:t xml:space="preserve">work with other state and national </w:t>
      </w:r>
      <w:r w:rsidR="00BE2BCE">
        <w:rPr>
          <w:lang w:val="en"/>
        </w:rPr>
        <w:t xml:space="preserve">interest </w:t>
      </w:r>
      <w:r w:rsidRPr="00DF60B5">
        <w:rPr>
          <w:lang w:val="en"/>
        </w:rPr>
        <w:t>holders focused on serving minority student populations to advocate for changes at the federal level</w:t>
      </w:r>
      <w:r w:rsidR="00F87D1A">
        <w:rPr>
          <w:lang w:val="en"/>
        </w:rPr>
        <w:t xml:space="preserve"> that enable higher education institutions to receive funding to support multiple minoritized-student populations</w:t>
      </w:r>
      <w:r w:rsidRPr="00DF60B5">
        <w:rPr>
          <w:lang w:val="en"/>
        </w:rPr>
        <w:t>.</w:t>
      </w:r>
    </w:p>
    <w:p w14:paraId="00416A2D" w14:textId="77777777" w:rsidR="00CD5C45" w:rsidRDefault="00CD5C45" w:rsidP="00CD5C45">
      <w:r w:rsidRPr="00294B9C">
        <w:t>Contact: Pablo Martin, San Diego Miramar College</w:t>
      </w:r>
    </w:p>
    <w:p w14:paraId="7C86F295" w14:textId="6D65CEB1" w:rsidR="00BE2BCE" w:rsidRDefault="00BE2BCE" w:rsidP="00CD5C45">
      <w:r>
        <w:t>Acclamation</w:t>
      </w:r>
    </w:p>
    <w:p w14:paraId="6892F060" w14:textId="77777777" w:rsidR="00CD5C45" w:rsidRDefault="00CD5C45" w:rsidP="00CD5C45"/>
    <w:p w14:paraId="306FBEB4" w14:textId="2AA5D317" w:rsidR="00327F7B" w:rsidRPr="001A5642" w:rsidRDefault="00327F7B" w:rsidP="00327F7B">
      <w:pPr>
        <w:pStyle w:val="Heading2"/>
        <w:spacing w:after="240"/>
      </w:pPr>
      <w:bookmarkStart w:id="66" w:name="_Toc354487192"/>
      <w:bookmarkStart w:id="67" w:name="_Toc165038258"/>
      <w:r>
        <w:t>113</w:t>
      </w:r>
      <w:r w:rsidRPr="001A5642">
        <w:t>.0</w:t>
      </w:r>
      <w:r w:rsidR="00EA4D2C">
        <w:t>8</w:t>
      </w:r>
      <w:r w:rsidRPr="001A5642">
        <w:t xml:space="preserve"> </w:t>
      </w:r>
      <w:r w:rsidR="00314E0A">
        <w:t xml:space="preserve">S24 </w:t>
      </w:r>
      <w:r w:rsidRPr="001A5642">
        <w:t>Support Noncredit Instructional Programs</w:t>
      </w:r>
      <w:bookmarkEnd w:id="66"/>
      <w:r w:rsidRPr="001A5642">
        <w:t xml:space="preserve"> </w:t>
      </w:r>
      <w:r>
        <w:t>E</w:t>
      </w:r>
      <w:r w:rsidRPr="001A5642">
        <w:t xml:space="preserve">quitable and </w:t>
      </w:r>
      <w:r>
        <w:t>A</w:t>
      </w:r>
      <w:r w:rsidRPr="001A5642">
        <w:t xml:space="preserve">ffordable </w:t>
      </w:r>
      <w:r>
        <w:t>A</w:t>
      </w:r>
      <w:r w:rsidRPr="001A5642">
        <w:t xml:space="preserve">ccess to </w:t>
      </w:r>
      <w:r>
        <w:t>L</w:t>
      </w:r>
      <w:r w:rsidRPr="001A5642">
        <w:t xml:space="preserve">earning </w:t>
      </w:r>
      <w:r>
        <w:t>O</w:t>
      </w:r>
      <w:r w:rsidRPr="001A5642">
        <w:t xml:space="preserve">pportunities for </w:t>
      </w:r>
      <w:r>
        <w:t>S</w:t>
      </w:r>
      <w:r w:rsidRPr="001A5642">
        <w:t xml:space="preserve">tudents of </w:t>
      </w:r>
      <w:r>
        <w:t>A</w:t>
      </w:r>
      <w:r w:rsidRPr="001A5642">
        <w:t xml:space="preserve">ll </w:t>
      </w:r>
      <w:r>
        <w:t>A</w:t>
      </w:r>
      <w:r w:rsidRPr="001A5642">
        <w:t>ges</w:t>
      </w:r>
      <w:bookmarkEnd w:id="67"/>
    </w:p>
    <w:p w14:paraId="49F3C752" w14:textId="0973F43D" w:rsidR="00327F7B" w:rsidRPr="001A5642" w:rsidRDefault="00327F7B" w:rsidP="00327F7B">
      <w:r w:rsidRPr="001A5642">
        <w:t>Whereas, The Legislative Analyst’s Office 2024-2025 Budget: California Community Colleges report</w:t>
      </w:r>
      <w:r>
        <w:rPr>
          <w:rStyle w:val="FootnoteReference"/>
        </w:rPr>
        <w:footnoteReference w:id="122"/>
      </w:r>
      <w:r w:rsidRPr="001A5642">
        <w:t xml:space="preserve"> “</w:t>
      </w:r>
      <w:r w:rsidRPr="001A5642">
        <w:rPr>
          <w:i/>
          <w:iCs/>
        </w:rPr>
        <w:t>Recommend Identifying Ongoing Solutions Outside of Colleges’ Core Programs</w:t>
      </w:r>
      <w:r w:rsidRPr="001A5642">
        <w:t>” proposed structural funding changes to noncredit instruction, “eliminating state support for athletics and classes that are primarily enrichment in nature” including older adult and other programs (p.</w:t>
      </w:r>
      <w:r w:rsidR="00A205CF">
        <w:t xml:space="preserve"> </w:t>
      </w:r>
      <w:r w:rsidRPr="001A5642">
        <w:t>5);</w:t>
      </w:r>
    </w:p>
    <w:p w14:paraId="28327D04" w14:textId="3F4E7C9F" w:rsidR="00327F7B" w:rsidRPr="001A5642" w:rsidRDefault="00327F7B" w:rsidP="00327F7B">
      <w:r w:rsidRPr="001A5642">
        <w:t>Whereas, The approved noncredit instruction programs that are being</w:t>
      </w:r>
      <w:r w:rsidR="008E12EA">
        <w:t xml:space="preserve"> </w:t>
      </w:r>
      <w:r w:rsidR="00A6652E">
        <w:t>recommended</w:t>
      </w:r>
      <w:r w:rsidRPr="001A5642">
        <w:t xml:space="preserve"> for restructuring to fee-based classes, which have historically given California’s community colleges the ability to address local areas of need, including but not limited to older adults who are returning to the workforce,</w:t>
      </w:r>
      <w:r w:rsidR="00B861BF">
        <w:t xml:space="preserve"> and</w:t>
      </w:r>
      <w:r w:rsidRPr="001A5642">
        <w:t xml:space="preserve"> older adults who need to increase or sustain their mental and physical agility; </w:t>
      </w:r>
    </w:p>
    <w:p w14:paraId="33F2CF55" w14:textId="7787515E" w:rsidR="00327F7B" w:rsidRPr="001A5642" w:rsidRDefault="00327F7B" w:rsidP="00327F7B">
      <w:r w:rsidRPr="001A5642">
        <w:t>Whereas, The restructuring of approved noncredit instruction programs would change the California Community Colleges’ commitment to educating the people of California as stated in California Education Code §84757</w:t>
      </w:r>
      <w:r>
        <w:rPr>
          <w:rStyle w:val="FootnoteReference"/>
        </w:rPr>
        <w:footnoteReference w:id="123"/>
      </w:r>
      <w:r w:rsidRPr="001A5642">
        <w:t xml:space="preserve"> section A.7: “The noncredit courses, noncredit classes, and support services eligible for funding include: Education programs for older adults”; and</w:t>
      </w:r>
    </w:p>
    <w:p w14:paraId="0508B14C" w14:textId="391B6DC3" w:rsidR="00327F7B" w:rsidRPr="001A5642" w:rsidRDefault="00327F7B" w:rsidP="00327F7B">
      <w:r w:rsidRPr="001A5642">
        <w:t>Whereas, The Academic Senate for California Community Colleges have continually demonstrated support for noncredit instruction programs by supporting resolutions as far back as 1989</w:t>
      </w:r>
      <w:r w:rsidRPr="001A5642">
        <w:rPr>
          <w:vertAlign w:val="superscript"/>
        </w:rPr>
        <w:footnoteReference w:id="124"/>
      </w:r>
      <w:r w:rsidRPr="001A5642">
        <w:t xml:space="preserve"> that aim to improve the quality of noncredit education in the state and oppose the restructuring of non-</w:t>
      </w:r>
      <w:r w:rsidR="00C129C7">
        <w:t>c</w:t>
      </w:r>
      <w:r w:rsidRPr="001A5642">
        <w:t xml:space="preserve">areer </w:t>
      </w:r>
      <w:r w:rsidR="00C129C7">
        <w:t>d</w:t>
      </w:r>
      <w:r w:rsidRPr="001A5642">
        <w:t xml:space="preserve">evelopment and </w:t>
      </w:r>
      <w:r w:rsidR="00C129C7">
        <w:t>c</w:t>
      </w:r>
      <w:r w:rsidRPr="001A5642">
        <w:t xml:space="preserve">ollege </w:t>
      </w:r>
      <w:r w:rsidR="00C129C7">
        <w:t>p</w:t>
      </w:r>
      <w:r w:rsidRPr="001A5642">
        <w:t>reparation noncredit classes to fee-based classes</w:t>
      </w:r>
      <w:r w:rsidRPr="001A5642">
        <w:rPr>
          <w:vertAlign w:val="superscript"/>
        </w:rPr>
        <w:footnoteReference w:id="125"/>
      </w:r>
      <w:r w:rsidRPr="001A5642">
        <w:t>;</w:t>
      </w:r>
    </w:p>
    <w:p w14:paraId="398653AD" w14:textId="433F956F" w:rsidR="00327F7B" w:rsidRPr="00464C9D" w:rsidRDefault="00327F7B" w:rsidP="00327F7B">
      <w:r w:rsidRPr="001A5642">
        <w:t xml:space="preserve">Resolved, That the Academic Senate for California Community Colleges affirm the necessity of California’s community colleges to provide equitable and affordable access to learning opportunities to students of all ages, in noncredit courses promoting tools for brain and physical health which enable seniors to live independent and quality lives, aligning with the California Governor’s Executive Order </w:t>
      </w:r>
      <w:r w:rsidRPr="00232D58">
        <w:t>N-14-19</w:t>
      </w:r>
      <w:r>
        <w:rPr>
          <w:rStyle w:val="FootnoteReference"/>
        </w:rPr>
        <w:footnoteReference w:id="126"/>
      </w:r>
      <w:r w:rsidRPr="001A5642">
        <w:t xml:space="preserve"> established in the </w:t>
      </w:r>
      <w:r w:rsidRPr="00C12FC5">
        <w:rPr>
          <w:i/>
          <w:iCs/>
        </w:rPr>
        <w:t>Master Plan for Aging: 2030</w:t>
      </w:r>
      <w:r>
        <w:rPr>
          <w:rStyle w:val="FootnoteReference"/>
          <w:i/>
          <w:iCs/>
        </w:rPr>
        <w:footnoteReference w:id="127"/>
      </w:r>
      <w:r w:rsidR="00667DD6">
        <w:t>;</w:t>
      </w:r>
      <w:r w:rsidR="00464C9D">
        <w:t xml:space="preserve"> and</w:t>
      </w:r>
    </w:p>
    <w:p w14:paraId="2279A1D9" w14:textId="03AFEB2B" w:rsidR="00FC325E" w:rsidRDefault="00FC325E" w:rsidP="00FC325E">
      <w:pPr>
        <w:pStyle w:val="paragraph"/>
        <w:spacing w:before="0" w:beforeAutospacing="0" w:after="0" w:afterAutospacing="0"/>
        <w:textAlignment w:val="baseline"/>
        <w:rPr>
          <w:rStyle w:val="eop"/>
          <w:rFonts w:asciiTheme="minorHAnsi" w:hAnsiTheme="minorHAnsi" w:cstheme="minorHAnsi"/>
        </w:rPr>
      </w:pPr>
      <w:r w:rsidRPr="00831FF1">
        <w:rPr>
          <w:rStyle w:val="normaltextrun"/>
          <w:rFonts w:asciiTheme="minorHAnsi" w:hAnsiTheme="minorHAnsi" w:cstheme="minorHAnsi"/>
        </w:rPr>
        <w:lastRenderedPageBreak/>
        <w:t xml:space="preserve">Resolved, That the Academic Senate for California Community </w:t>
      </w:r>
      <w:r w:rsidRPr="00FC325E">
        <w:rPr>
          <w:rStyle w:val="normaltextrun"/>
          <w:rFonts w:asciiTheme="minorHAnsi" w:hAnsiTheme="minorHAnsi" w:cstheme="minorHAnsi"/>
        </w:rPr>
        <w:t>College</w:t>
      </w:r>
      <w:r w:rsidR="00723744">
        <w:rPr>
          <w:rStyle w:val="normaltextrun"/>
          <w:rFonts w:asciiTheme="minorHAnsi" w:hAnsiTheme="minorHAnsi" w:cstheme="minorHAnsi"/>
        </w:rPr>
        <w:t>s w</w:t>
      </w:r>
      <w:r w:rsidRPr="00FC325E">
        <w:rPr>
          <w:rStyle w:val="normaltextrun"/>
          <w:rFonts w:asciiTheme="minorHAnsi" w:hAnsiTheme="minorHAnsi" w:cstheme="minorHAnsi"/>
        </w:rPr>
        <w:t>ork with the Legislature on any proposed changes to noncredit instruction as defined in</w:t>
      </w:r>
      <w:r w:rsidRPr="00831FF1">
        <w:rPr>
          <w:rStyle w:val="normaltextrun"/>
          <w:rFonts w:asciiTheme="minorHAnsi" w:hAnsiTheme="minorHAnsi" w:cstheme="minorHAnsi"/>
        </w:rPr>
        <w:t xml:space="preserve"> California Education Code.</w:t>
      </w:r>
      <w:r w:rsidRPr="00831FF1">
        <w:rPr>
          <w:rStyle w:val="eop"/>
          <w:rFonts w:asciiTheme="minorHAnsi" w:hAnsiTheme="minorHAnsi" w:cstheme="minorHAnsi"/>
        </w:rPr>
        <w:t> </w:t>
      </w:r>
    </w:p>
    <w:p w14:paraId="4A480461" w14:textId="77777777" w:rsidR="00D86AD8" w:rsidRPr="00831FF1" w:rsidRDefault="00D86AD8" w:rsidP="00FC325E">
      <w:pPr>
        <w:pStyle w:val="paragraph"/>
        <w:spacing w:before="0" w:beforeAutospacing="0" w:after="0" w:afterAutospacing="0"/>
        <w:textAlignment w:val="baseline"/>
        <w:rPr>
          <w:rFonts w:asciiTheme="minorHAnsi" w:hAnsiTheme="minorHAnsi" w:cstheme="minorHAnsi"/>
        </w:rPr>
      </w:pPr>
    </w:p>
    <w:p w14:paraId="7C6ACA17" w14:textId="77777777" w:rsidR="00327F7B" w:rsidRPr="001A5642" w:rsidRDefault="00327F7B" w:rsidP="00327F7B">
      <w:r w:rsidRPr="001A5642">
        <w:t>Contact: Richard Weinroth, San Diego College of Continuing Education</w:t>
      </w:r>
    </w:p>
    <w:p w14:paraId="3918DABA" w14:textId="018F1E21" w:rsidR="00CD5C45" w:rsidRDefault="00D86AD8" w:rsidP="001A6DEA">
      <w:r>
        <w:t>MSU</w:t>
      </w:r>
    </w:p>
    <w:p w14:paraId="7FC00B5A" w14:textId="77777777" w:rsidR="001A6DEA" w:rsidRDefault="001A6DEA" w:rsidP="001A6DEA"/>
    <w:p w14:paraId="3FB0EC63" w14:textId="77777777" w:rsidR="00AF7FB6" w:rsidRDefault="00AF7FB6" w:rsidP="001A6DEA"/>
    <w:p w14:paraId="7650AB5A" w14:textId="77777777" w:rsidR="00D62EB2" w:rsidRDefault="00D62EB2" w:rsidP="001A6DEA"/>
    <w:p w14:paraId="3899952A" w14:textId="74164400" w:rsidR="00F36CB8" w:rsidRPr="001A6DEA" w:rsidRDefault="00F36CB8" w:rsidP="00F36CB8">
      <w:pPr>
        <w:pStyle w:val="Heading1"/>
      </w:pPr>
      <w:bookmarkStart w:id="68" w:name="_Toc162362550"/>
      <w:bookmarkStart w:id="69" w:name="_Toc165038259"/>
      <w:r w:rsidRPr="001A6DEA">
        <w:t>114 C</w:t>
      </w:r>
      <w:r>
        <w:t xml:space="preserve">ONSULTATION WITH THE </w:t>
      </w:r>
      <w:r w:rsidR="002210CE">
        <w:t xml:space="preserve">CALIFORNIA COMMUNITY COLLEGES </w:t>
      </w:r>
      <w:r>
        <w:t>CHANCELLOR’S OFFICE</w:t>
      </w:r>
      <w:bookmarkEnd w:id="68"/>
      <w:bookmarkEnd w:id="69"/>
    </w:p>
    <w:p w14:paraId="6820C33F" w14:textId="77777777" w:rsidR="00F36CB8" w:rsidRPr="001A6DEA" w:rsidRDefault="00F36CB8" w:rsidP="001A6DEA"/>
    <w:p w14:paraId="05807B74" w14:textId="4F7588FC" w:rsidR="001A6DEA" w:rsidRPr="001A6DEA" w:rsidRDefault="001A6DEA" w:rsidP="00FC653A">
      <w:pPr>
        <w:pStyle w:val="Heading2"/>
        <w:spacing w:after="240"/>
        <w:rPr>
          <w:lang w:val="en"/>
        </w:rPr>
      </w:pPr>
      <w:bookmarkStart w:id="70" w:name="_Toc162362546"/>
      <w:bookmarkStart w:id="71" w:name="_Toc165038260"/>
      <w:r w:rsidRPr="001A6DEA">
        <w:rPr>
          <w:lang w:val="en"/>
        </w:rPr>
        <w:t>114.01 S24 A-G Requirements Website to Support Dual Enrollment</w:t>
      </w:r>
      <w:bookmarkEnd w:id="70"/>
      <w:bookmarkEnd w:id="71"/>
    </w:p>
    <w:p w14:paraId="2D0CB914" w14:textId="77777777" w:rsidR="001A6DEA" w:rsidRPr="001A6DEA" w:rsidRDefault="001A6DEA" w:rsidP="001A6DEA">
      <w:r w:rsidRPr="001A6DEA">
        <w:t>Whereas, The California State University and the University of California systems require students to complete the A-G requirements for first year student admission</w:t>
      </w:r>
      <w:r w:rsidRPr="001A6DEA">
        <w:rPr>
          <w:vertAlign w:val="superscript"/>
        </w:rPr>
        <w:footnoteReference w:id="128"/>
      </w:r>
      <w:r w:rsidRPr="001A6DEA">
        <w:t>;</w:t>
      </w:r>
    </w:p>
    <w:p w14:paraId="5C2506FC" w14:textId="77777777" w:rsidR="001A6DEA" w:rsidRPr="001A6DEA" w:rsidRDefault="001A6DEA" w:rsidP="001A6DEA">
      <w:r w:rsidRPr="001A6DEA">
        <w:t>Whereas, Transferable California Community College courses taken during high school may be used to satisfy the A-G requirements if the courses meet specific criteria</w:t>
      </w:r>
      <w:r w:rsidRPr="001A6DEA">
        <w:rPr>
          <w:vertAlign w:val="superscript"/>
        </w:rPr>
        <w:footnoteReference w:id="129"/>
      </w:r>
      <w:r w:rsidRPr="001A6DEA">
        <w:t>;</w:t>
      </w:r>
    </w:p>
    <w:p w14:paraId="1389DFC5" w14:textId="54CDD383" w:rsidR="001A6DEA" w:rsidRPr="001A6DEA" w:rsidRDefault="001A6DEA" w:rsidP="001A6DEA">
      <w:r w:rsidRPr="001A6DEA">
        <w:t xml:space="preserve">Whereas, The </w:t>
      </w:r>
      <w:r w:rsidRPr="00CC1249">
        <w:rPr>
          <w:i/>
          <w:iCs/>
        </w:rPr>
        <w:t>Vision 2030</w:t>
      </w:r>
      <w:r w:rsidRPr="001A6DEA">
        <w:t xml:space="preserve"> calls for California high school students to “complete high school with at least 12 units of dual enrollment credit”</w:t>
      </w:r>
      <w:r w:rsidR="008E12EA">
        <w:rPr>
          <w:rStyle w:val="FootnoteReference"/>
        </w:rPr>
        <w:footnoteReference w:id="130"/>
      </w:r>
      <w:r w:rsidRPr="001A6DEA">
        <w:t xml:space="preserve"> so as to “increase their interest in and understanding of college”; and</w:t>
      </w:r>
    </w:p>
    <w:p w14:paraId="2B5A4376" w14:textId="77777777" w:rsidR="001A6DEA" w:rsidRPr="001A6DEA" w:rsidRDefault="001A6DEA" w:rsidP="001A6DEA">
      <w:r w:rsidRPr="001A6DEA">
        <w:t>Whereas, An online repository that makes visible which of a California community college’s courses will satisfy the A-G requirements may be of support to community college faculty and high school partners in the selection of courses to offer for dual enrollment;</w:t>
      </w:r>
    </w:p>
    <w:p w14:paraId="40DAD6DD" w14:textId="67018A99" w:rsidR="001A6DEA" w:rsidRPr="001A6DEA" w:rsidRDefault="001A6DEA" w:rsidP="001A6DEA">
      <w:r w:rsidRPr="001A6DEA">
        <w:lastRenderedPageBreak/>
        <w:t>Resolved, That the Academic Senate for California Community Colleges work with the California Community Colleges Chancellor’s Office</w:t>
      </w:r>
      <w:r w:rsidR="00E84BBA">
        <w:t>, California State University Chancellor’s</w:t>
      </w:r>
      <w:r w:rsidRPr="001A6DEA">
        <w:t xml:space="preserve"> </w:t>
      </w:r>
      <w:r w:rsidR="00E84BBA">
        <w:t xml:space="preserve">Office, and the University of California Office of the President </w:t>
      </w:r>
      <w:r w:rsidRPr="001A6DEA">
        <w:t>to develop an A-G requirements website that indicates</w:t>
      </w:r>
      <w:r w:rsidR="008A6B67">
        <w:t xml:space="preserve">, for dual enrollment students, </w:t>
      </w:r>
      <w:r w:rsidRPr="001A6DEA">
        <w:t xml:space="preserve">A-G approval </w:t>
      </w:r>
      <w:r w:rsidR="00E84BBA">
        <w:t>of community college courses</w:t>
      </w:r>
      <w:r w:rsidRPr="001A6DEA">
        <w:t>.</w:t>
      </w:r>
    </w:p>
    <w:p w14:paraId="2671C3B0" w14:textId="77777777" w:rsidR="001A6DEA" w:rsidRDefault="001A6DEA" w:rsidP="001A6DEA">
      <w:r w:rsidRPr="001A6DEA">
        <w:t>Contact: Mark Edward Osea, Mendocino College, Area B</w:t>
      </w:r>
    </w:p>
    <w:p w14:paraId="195309B5" w14:textId="7A37DC62" w:rsidR="00F157E3" w:rsidRPr="001A6DEA" w:rsidRDefault="00F157E3" w:rsidP="001A6DEA">
      <w:r>
        <w:t>MSU</w:t>
      </w:r>
    </w:p>
    <w:p w14:paraId="77ED2875" w14:textId="77777777" w:rsidR="008B0AE9" w:rsidRDefault="008B0AE9" w:rsidP="008B0AE9">
      <w:pPr>
        <w:rPr>
          <w:lang w:val="en"/>
        </w:rPr>
      </w:pPr>
      <w:bookmarkStart w:id="72" w:name="_Toc162362547"/>
    </w:p>
    <w:p w14:paraId="6CFE1258" w14:textId="52C9E867" w:rsidR="001A6DEA" w:rsidRPr="001A6DEA" w:rsidRDefault="001A6DEA" w:rsidP="00FC653A">
      <w:pPr>
        <w:pStyle w:val="Heading2"/>
        <w:spacing w:after="240"/>
        <w:rPr>
          <w:lang w:val="en"/>
        </w:rPr>
      </w:pPr>
      <w:bookmarkStart w:id="73" w:name="_Toc165038261"/>
      <w:r w:rsidRPr="001A6DEA">
        <w:rPr>
          <w:lang w:val="en"/>
        </w:rPr>
        <w:t>114.02 S24 Noncredit in the California Virtual Campus</w:t>
      </w:r>
      <w:bookmarkEnd w:id="72"/>
      <w:bookmarkEnd w:id="73"/>
    </w:p>
    <w:p w14:paraId="6A12B79F" w14:textId="72D1560B" w:rsidR="001A6DEA" w:rsidRPr="001A6DEA" w:rsidRDefault="001A6DEA" w:rsidP="001A6DEA">
      <w:pPr>
        <w:rPr>
          <w:lang w:val="en"/>
        </w:rPr>
      </w:pPr>
      <w:r w:rsidRPr="001A6DEA">
        <w:rPr>
          <w:lang w:val="en"/>
        </w:rPr>
        <w:t>Whereas, The California Community Colleges Chancellor's Office has charged the California Virtual Campus with “ensuring that significantly more students are able to complete their educational goals by increasing both access to and success in high-quality online courses”</w:t>
      </w:r>
      <w:r w:rsidRPr="001A6DEA">
        <w:rPr>
          <w:vertAlign w:val="superscript"/>
          <w:lang w:val="en"/>
        </w:rPr>
        <w:footnoteReference w:id="131"/>
      </w:r>
      <w:r w:rsidRPr="001A6DEA">
        <w:rPr>
          <w:lang w:val="en"/>
        </w:rPr>
        <w:t>;</w:t>
      </w:r>
    </w:p>
    <w:p w14:paraId="6B1B4020" w14:textId="77777777" w:rsidR="001A6DEA" w:rsidRPr="001A6DEA" w:rsidRDefault="001A6DEA" w:rsidP="001A6DEA">
      <w:pPr>
        <w:rPr>
          <w:lang w:val="en"/>
        </w:rPr>
      </w:pPr>
      <w:r w:rsidRPr="001A6DEA">
        <w:rPr>
          <w:lang w:val="en"/>
        </w:rPr>
        <w:t>Whereas, The California Virtual Campus lists in its Exchange noncredit courses only under somewhat restrictive circumstances and does not provide an adequate subject-based filter to select noncredit courses from its offerings; and</w:t>
      </w:r>
    </w:p>
    <w:p w14:paraId="0F780503" w14:textId="093B4B9B" w:rsidR="001A6DEA" w:rsidRPr="001A6DEA" w:rsidRDefault="001A6DEA" w:rsidP="001A6DEA">
      <w:pPr>
        <w:rPr>
          <w:lang w:val="en"/>
        </w:rPr>
      </w:pPr>
      <w:r w:rsidRPr="001A6DEA">
        <w:rPr>
          <w:lang w:val="en"/>
        </w:rPr>
        <w:t>Whereas, The California Community Colleges Chancellor's Office emphasizes not only degree and certificate completion for all students, including career development and college preparation certificates in noncredit, but also providing access to students of diverse backgrounds;</w:t>
      </w:r>
    </w:p>
    <w:p w14:paraId="0A650176" w14:textId="4C9BE5B9" w:rsidR="001A6DEA" w:rsidRPr="001A6DEA" w:rsidRDefault="001A6DEA" w:rsidP="001A6DEA">
      <w:pPr>
        <w:rPr>
          <w:lang w:val="en"/>
        </w:rPr>
      </w:pPr>
      <w:r w:rsidRPr="001A6DEA">
        <w:rPr>
          <w:lang w:val="en"/>
        </w:rPr>
        <w:t xml:space="preserve">Resolved, That the Academic Senate for California Community College work with the California Community Colleges Chancellor’s Office and other appropriate higher education system partners with the goal of having the California Virtual Campus include noncredit courses from both </w:t>
      </w:r>
      <w:r w:rsidR="003838F6">
        <w:rPr>
          <w:lang w:val="en"/>
        </w:rPr>
        <w:t>h</w:t>
      </w:r>
      <w:r w:rsidRPr="001A6DEA">
        <w:rPr>
          <w:lang w:val="en"/>
        </w:rPr>
        <w:t xml:space="preserve">ome and </w:t>
      </w:r>
      <w:r w:rsidR="003838F6">
        <w:rPr>
          <w:lang w:val="en"/>
        </w:rPr>
        <w:t>t</w:t>
      </w:r>
      <w:r w:rsidRPr="001A6DEA">
        <w:rPr>
          <w:lang w:val="en"/>
        </w:rPr>
        <w:t>eaching colleges, regardless of how the noncredit courses are coded, and with an adequate subject-based filter so students can more easily search for noncredit offerings.</w:t>
      </w:r>
    </w:p>
    <w:p w14:paraId="5FF5B646" w14:textId="77777777" w:rsidR="001A6DEA" w:rsidRDefault="001A6DEA" w:rsidP="001A6DEA">
      <w:pPr>
        <w:rPr>
          <w:lang w:val="en"/>
        </w:rPr>
      </w:pPr>
      <w:r w:rsidRPr="001A6DEA">
        <w:rPr>
          <w:lang w:val="en"/>
        </w:rPr>
        <w:t>Contact: Sheri Miraglia, City College of San Francisco, Area B</w:t>
      </w:r>
    </w:p>
    <w:p w14:paraId="2A2CA80A" w14:textId="5D2F81B7" w:rsidR="0091680E" w:rsidRPr="001A6DEA" w:rsidRDefault="0091680E" w:rsidP="001A6DEA">
      <w:pPr>
        <w:rPr>
          <w:lang w:val="en"/>
        </w:rPr>
      </w:pPr>
      <w:r>
        <w:rPr>
          <w:lang w:val="en"/>
        </w:rPr>
        <w:t>MSU</w:t>
      </w:r>
    </w:p>
    <w:p w14:paraId="705E9449" w14:textId="77777777" w:rsidR="001A6DEA" w:rsidRDefault="001A6DEA" w:rsidP="001A6DEA">
      <w:pPr>
        <w:rPr>
          <w:lang w:val="en"/>
        </w:rPr>
      </w:pPr>
    </w:p>
    <w:p w14:paraId="6EE0CEC1" w14:textId="731D58D4" w:rsidR="005750D7" w:rsidRPr="005750D7" w:rsidRDefault="005750D7" w:rsidP="005750D7">
      <w:pPr>
        <w:pStyle w:val="Heading2"/>
        <w:spacing w:after="240"/>
        <w:rPr>
          <w:lang w:val="en"/>
        </w:rPr>
      </w:pPr>
      <w:bookmarkStart w:id="74" w:name="_Toc165038262"/>
      <w:r w:rsidRPr="005750D7">
        <w:rPr>
          <w:lang w:val="en"/>
        </w:rPr>
        <w:t>11</w:t>
      </w:r>
      <w:r w:rsidR="005865BC">
        <w:rPr>
          <w:lang w:val="en"/>
        </w:rPr>
        <w:t>4</w:t>
      </w:r>
      <w:r w:rsidRPr="005750D7">
        <w:rPr>
          <w:lang w:val="en"/>
        </w:rPr>
        <w:t>.0</w:t>
      </w:r>
      <w:r w:rsidR="005865BC">
        <w:rPr>
          <w:lang w:val="en"/>
        </w:rPr>
        <w:t>3</w:t>
      </w:r>
      <w:r w:rsidRPr="005750D7">
        <w:rPr>
          <w:lang w:val="en"/>
        </w:rPr>
        <w:t xml:space="preserve"> </w:t>
      </w:r>
      <w:r w:rsidR="00314E0A">
        <w:rPr>
          <w:lang w:val="en"/>
        </w:rPr>
        <w:t xml:space="preserve">S24 </w:t>
      </w:r>
      <w:r w:rsidRPr="005750D7">
        <w:rPr>
          <w:lang w:val="en"/>
        </w:rPr>
        <w:t xml:space="preserve">Disaggregating </w:t>
      </w:r>
      <w:r w:rsidR="0094712D">
        <w:rPr>
          <w:lang w:val="en"/>
        </w:rPr>
        <w:t xml:space="preserve">Asian and Pacific Islander Student </w:t>
      </w:r>
      <w:r w:rsidRPr="005750D7">
        <w:rPr>
          <w:lang w:val="en"/>
        </w:rPr>
        <w:t>Data</w:t>
      </w:r>
      <w:bookmarkEnd w:id="74"/>
    </w:p>
    <w:p w14:paraId="4168A3BF" w14:textId="46C38FCA" w:rsidR="005750D7" w:rsidRPr="005750D7" w:rsidRDefault="005750D7" w:rsidP="005750D7">
      <w:r w:rsidRPr="005750D7">
        <w:t>Whereas, The Academic Senate for California Community Colleges adopted Resolution 03.05 S22 Disaggregate Asian and Pacific Islander Student Data</w:t>
      </w:r>
      <w:r w:rsidRPr="005750D7">
        <w:rPr>
          <w:vertAlign w:val="superscript"/>
        </w:rPr>
        <w:footnoteReference w:id="132"/>
      </w:r>
      <w:r w:rsidRPr="005750D7">
        <w:t>, which called for the disaggregation of Asian and Pacific Islander student data</w:t>
      </w:r>
      <w:r w:rsidR="00316982">
        <w:t>;</w:t>
      </w:r>
    </w:p>
    <w:p w14:paraId="665EA3EF" w14:textId="77777777" w:rsidR="005750D7" w:rsidRPr="005750D7" w:rsidRDefault="005750D7" w:rsidP="005750D7">
      <w:pPr>
        <w:rPr>
          <w:lang w:val="en"/>
        </w:rPr>
      </w:pPr>
      <w:r w:rsidRPr="005750D7">
        <w:rPr>
          <w:lang w:val="en"/>
        </w:rPr>
        <w:lastRenderedPageBreak/>
        <w:t>Whereas, The California Community Colleges Chancellor’s Office has data element SB38</w:t>
      </w:r>
      <w:r w:rsidRPr="005750D7">
        <w:rPr>
          <w:vertAlign w:val="superscript"/>
          <w:lang w:val="en"/>
        </w:rPr>
        <w:footnoteReference w:id="133"/>
      </w:r>
      <w:r w:rsidRPr="005750D7">
        <w:rPr>
          <w:lang w:val="en"/>
        </w:rPr>
        <w:t>, which disaggregates Asian American, Native American, and Pacific Islander ethnicities; and</w:t>
      </w:r>
    </w:p>
    <w:p w14:paraId="57C407F3" w14:textId="77777777" w:rsidR="005750D7" w:rsidRPr="005750D7" w:rsidRDefault="005750D7" w:rsidP="005750D7">
      <w:r w:rsidRPr="005750D7">
        <w:t xml:space="preserve">Whereas, The aggregation of student data in community colleges often conceals the diverse educational outcomes and needs of distinct groups within each categorization, the disaggregation of this data, in particular data revealing smaller subsets of students, is crucial for ensuring accurate visibility, representation, and the formulation of targeted educational and support strategies; </w:t>
      </w:r>
    </w:p>
    <w:p w14:paraId="1671E659" w14:textId="77777777" w:rsidR="005750D7" w:rsidRPr="005750D7" w:rsidRDefault="005750D7" w:rsidP="005750D7">
      <w:pPr>
        <w:rPr>
          <w:lang w:val="en"/>
        </w:rPr>
      </w:pPr>
      <w:r w:rsidRPr="005750D7">
        <w:rPr>
          <w:lang w:val="en"/>
        </w:rPr>
        <w:t>Resolved, That the Academic Senate for California Community Colleges urge the California Community Colleges Chancellor’s Office to release an annual report that illustrates the enrollment, success, retention, and persistence of Asian and Pacific Islander students across the system and then by region and district, specifically in districts with high Southeast Asian American, Pacific Islander/Native Hawaiians, and Filipino student enrollments;</w:t>
      </w:r>
    </w:p>
    <w:p w14:paraId="2A9E9B7B" w14:textId="1D8DD20A" w:rsidR="005750D7" w:rsidRPr="005750D7" w:rsidRDefault="005750D7" w:rsidP="005750D7">
      <w:pPr>
        <w:rPr>
          <w:lang w:val="en"/>
        </w:rPr>
      </w:pPr>
      <w:r w:rsidRPr="005750D7">
        <w:rPr>
          <w:lang w:val="en"/>
        </w:rPr>
        <w:t>Resolved, That the Academic Senate for California Community Colleges urge the California Community College Chancellor’s Office to work closely with the Office of Management and Budget to implement revisions to the Statistical Policy Directive No. 15: Standards for Maintaining, Collecting, and Presenting Federal Data on Race and Ethnicity</w:t>
      </w:r>
      <w:r w:rsidR="00630633">
        <w:rPr>
          <w:rStyle w:val="FootnoteReference"/>
          <w:lang w:val="en"/>
        </w:rPr>
        <w:footnoteReference w:id="134"/>
      </w:r>
      <w:r w:rsidRPr="005750D7">
        <w:rPr>
          <w:lang w:val="en"/>
        </w:rPr>
        <w:t xml:space="preserve"> within the next academic year;</w:t>
      </w:r>
    </w:p>
    <w:p w14:paraId="21BF8B89" w14:textId="77777777" w:rsidR="005750D7" w:rsidRPr="005750D7" w:rsidRDefault="005750D7" w:rsidP="005750D7">
      <w:r w:rsidRPr="005750D7">
        <w:t xml:space="preserve">Resolved, That the Academic Senate for California Community Colleges encourage colleges to utilize disaggregated data as part of their practices when collecting, examining, and reporting enrollment, success, retention, and persistence data for Asian and Pacific Islander students and other minoritized populations (specific to their college demographics); and </w:t>
      </w:r>
    </w:p>
    <w:p w14:paraId="4C58D60B" w14:textId="77777777" w:rsidR="005750D7" w:rsidRPr="005750D7" w:rsidRDefault="005750D7" w:rsidP="005750D7">
      <w:r w:rsidRPr="005750D7">
        <w:t>Resolved, That the Academic Senate for California Community Colleges work with the California Community College Chancellor’s Office within the 2024-2025 academic year to create trainings and webinars on how to center equity in the implementation utilizing disaggregated Asian and Pacific Islander data.</w:t>
      </w:r>
    </w:p>
    <w:p w14:paraId="07184495" w14:textId="77777777" w:rsidR="005750D7" w:rsidRDefault="005750D7" w:rsidP="005750D7">
      <w:r w:rsidRPr="005750D7">
        <w:t>Contact: Pablo Martin, San Diego Miramar College</w:t>
      </w:r>
    </w:p>
    <w:p w14:paraId="4EEAFDD2" w14:textId="6B98E14B" w:rsidR="004963DB" w:rsidRPr="005750D7" w:rsidRDefault="004963DB" w:rsidP="005750D7">
      <w:r>
        <w:t>MSU</w:t>
      </w:r>
    </w:p>
    <w:p w14:paraId="2648D90C" w14:textId="77777777" w:rsidR="00492E4D" w:rsidRPr="0044209B" w:rsidRDefault="00492E4D" w:rsidP="0044209B"/>
    <w:p w14:paraId="035F6422" w14:textId="73274395" w:rsidR="00C606AA" w:rsidRPr="00C606AA" w:rsidRDefault="00C606AA" w:rsidP="00C606AA">
      <w:pPr>
        <w:pStyle w:val="Heading2"/>
        <w:spacing w:after="240"/>
      </w:pPr>
      <w:bookmarkStart w:id="75" w:name="_Toc165038263"/>
      <w:r w:rsidRPr="00C606AA">
        <w:t>1</w:t>
      </w:r>
      <w:r w:rsidR="009D1EA6">
        <w:t>14</w:t>
      </w:r>
      <w:r w:rsidRPr="00C606AA">
        <w:t>.0</w:t>
      </w:r>
      <w:r w:rsidR="00AE46C9">
        <w:t>4</w:t>
      </w:r>
      <w:r w:rsidRPr="00C606AA">
        <w:t xml:space="preserve"> </w:t>
      </w:r>
      <w:r w:rsidR="00314E0A">
        <w:t xml:space="preserve">S24 </w:t>
      </w:r>
      <w:r w:rsidR="00FF0558">
        <w:t xml:space="preserve">Aligning </w:t>
      </w:r>
      <w:r w:rsidR="00FE78D0">
        <w:t>with</w:t>
      </w:r>
      <w:r w:rsidRPr="00C606AA">
        <w:t xml:space="preserve"> AB 1705 Legislative Intent</w:t>
      </w:r>
      <w:bookmarkEnd w:id="75"/>
    </w:p>
    <w:p w14:paraId="7D91230C" w14:textId="3CAC4A0A" w:rsidR="00C606AA" w:rsidRPr="00C606AA" w:rsidRDefault="00C606AA" w:rsidP="00C606AA">
      <w:r w:rsidRPr="00C606AA">
        <w:t xml:space="preserve">Whereas, Part (1) of the Legislative Counsel’s Digest for AB 1705 </w:t>
      </w:r>
      <w:r w:rsidR="009522BB">
        <w:t>(Irwin, 2022)</w:t>
      </w:r>
      <w:r w:rsidR="002C6BE0">
        <w:rPr>
          <w:rStyle w:val="FootnoteReference"/>
        </w:rPr>
        <w:footnoteReference w:id="135"/>
      </w:r>
      <w:r w:rsidR="009522BB">
        <w:t xml:space="preserve"> </w:t>
      </w:r>
      <w:r w:rsidRPr="00C606AA">
        <w:t xml:space="preserve">provides clear intent language that students are placed into transfer-level coursework that satisfies </w:t>
      </w:r>
      <w:r w:rsidRPr="00C606AA">
        <w:lastRenderedPageBreak/>
        <w:t>“mathematics coursework requirements of the intended certificate or associate degree, or a requirement for transfer within the intended major, within a one-year timeframe of their initial attempt in the discipline”;</w:t>
      </w:r>
    </w:p>
    <w:p w14:paraId="43FA8B1F" w14:textId="77777777" w:rsidR="00C606AA" w:rsidRPr="00C606AA" w:rsidRDefault="00C606AA" w:rsidP="00C606AA">
      <w:r w:rsidRPr="00C606AA">
        <w:t>Whereas, Part (3) of the Legislative Counsel’s Digest only requires as of July 1, 2023 that certificate, degree, or transfer students are directly placed into transfer-level math, and not the required math course for their intended major; and</w:t>
      </w:r>
    </w:p>
    <w:p w14:paraId="7DB7F40F" w14:textId="5010342B" w:rsidR="00C606AA" w:rsidRPr="00C606AA" w:rsidRDefault="00C606AA" w:rsidP="00C606AA">
      <w:r w:rsidRPr="00C606AA">
        <w:t>Whereas, Sections (c)(1), (c)(7)(b), (c)(8),</w:t>
      </w:r>
      <w:r w:rsidR="00D379F5">
        <w:t xml:space="preserve"> </w:t>
      </w:r>
      <w:r w:rsidRPr="00C606AA">
        <w:t xml:space="preserve">(c)(9) of the </w:t>
      </w:r>
      <w:r w:rsidR="00015D61">
        <w:t>AB 1705 (Irwin, 2022)</w:t>
      </w:r>
      <w:r w:rsidR="00015D61">
        <w:rPr>
          <w:rStyle w:val="FootnoteReference"/>
        </w:rPr>
        <w:footnoteReference w:id="136"/>
      </w:r>
      <w:r w:rsidR="00015D61">
        <w:t xml:space="preserve"> </w:t>
      </w:r>
      <w:r w:rsidRPr="00C606AA">
        <w:t>bill text requires placement and enrollment into math classes that fulfill a requirement for their intended major within a one-year timeframe; and sections (f)(1) and (f)(2) allows for the enrollment of</w:t>
      </w:r>
      <w:r w:rsidR="00D118B0">
        <w:t xml:space="preserve"> science, technology, engineering, and math</w:t>
      </w:r>
      <w:r w:rsidRPr="00C606AA">
        <w:t xml:space="preserve"> </w:t>
      </w:r>
      <w:r w:rsidR="00D118B0">
        <w:t xml:space="preserve">(STEM) </w:t>
      </w:r>
      <w:r w:rsidRPr="00C606AA">
        <w:t xml:space="preserve">students into pre-calculus transfer level courses, so long as the college does not recommend or require enrollment in those courses and so long as students are notified that “it is optional and does not improve their chances of completing calculus for their STEM programs”; </w:t>
      </w:r>
    </w:p>
    <w:p w14:paraId="151ACE73" w14:textId="7D92940C" w:rsidR="00C606AA" w:rsidRPr="00C606AA" w:rsidRDefault="00C606AA" w:rsidP="00C606AA">
      <w:r w:rsidRPr="00C606AA">
        <w:t>Resolved, That the Academic Senate for California Community Colleges convey to the California Community Colleges Chancellor’s Office the position that, given the language in AB 1705, parts (1) and (3) of the Digest and</w:t>
      </w:r>
      <w:r w:rsidR="003B1BAA">
        <w:t xml:space="preserve"> </w:t>
      </w:r>
      <w:r w:rsidR="006C76F6">
        <w:t>sections</w:t>
      </w:r>
      <w:r w:rsidRPr="00C606AA">
        <w:t xml:space="preserve"> (c)(1), (c)(7)(b), (c)(8),</w:t>
      </w:r>
      <w:r w:rsidR="00B5552A">
        <w:t xml:space="preserve"> </w:t>
      </w:r>
      <w:r w:rsidRPr="00C606AA">
        <w:t>(c)(9),</w:t>
      </w:r>
      <w:r w:rsidR="00B5552A">
        <w:t xml:space="preserve"> </w:t>
      </w:r>
      <w:r w:rsidRPr="00C606AA">
        <w:t xml:space="preserve">(f)(1), and (f)(2) of the bill text, </w:t>
      </w:r>
      <w:r w:rsidR="000534CE">
        <w:t>science, technology, engineering, and math</w:t>
      </w:r>
      <w:r w:rsidR="000534CE" w:rsidRPr="00C606AA">
        <w:t xml:space="preserve"> </w:t>
      </w:r>
      <w:r w:rsidRPr="00C606AA">
        <w:t>students are allowed to take transfer-level pre-calculus math courses within their first semester, so long as students are not placed into or required to take such courses.</w:t>
      </w:r>
    </w:p>
    <w:p w14:paraId="406ED3F0" w14:textId="77777777" w:rsidR="00C606AA" w:rsidRDefault="00C606AA" w:rsidP="00C606AA">
      <w:r w:rsidRPr="00C606AA">
        <w:t>Contact: Matthew Morgan, Moorpark College</w:t>
      </w:r>
    </w:p>
    <w:p w14:paraId="3D5F17D3" w14:textId="42DB8D29" w:rsidR="00FC1741" w:rsidRPr="00C606AA" w:rsidRDefault="00FC1741" w:rsidP="00C606AA">
      <w:r>
        <w:t>MSC</w:t>
      </w:r>
    </w:p>
    <w:p w14:paraId="7CE3EA05" w14:textId="77777777" w:rsidR="005C61AE" w:rsidRPr="005C61AE" w:rsidRDefault="005C61AE" w:rsidP="005C61AE"/>
    <w:p w14:paraId="4E95B62E" w14:textId="349C59F3" w:rsidR="005C61AE" w:rsidRPr="005C61AE" w:rsidRDefault="005C61AE" w:rsidP="005C61AE">
      <w:pPr>
        <w:pStyle w:val="Heading2"/>
        <w:spacing w:after="240"/>
      </w:pPr>
      <w:bookmarkStart w:id="76" w:name="_Toc165038264"/>
      <w:r w:rsidRPr="00BF25D9">
        <w:t>11</w:t>
      </w:r>
      <w:r w:rsidR="00BF25D9">
        <w:t>4</w:t>
      </w:r>
      <w:r w:rsidRPr="00BF25D9">
        <w:t>.0</w:t>
      </w:r>
      <w:r w:rsidR="00AE46C9">
        <w:t>5</w:t>
      </w:r>
      <w:r w:rsidRPr="005C61AE">
        <w:t xml:space="preserve"> </w:t>
      </w:r>
      <w:r w:rsidR="00314E0A">
        <w:t xml:space="preserve">S24 </w:t>
      </w:r>
      <w:r w:rsidRPr="005C61AE">
        <w:t xml:space="preserve">Advocate for STEM </w:t>
      </w:r>
      <w:r w:rsidR="006A6686">
        <w:t>S</w:t>
      </w:r>
      <w:r w:rsidRPr="005C61AE">
        <w:t xml:space="preserve">tudents to be </w:t>
      </w:r>
      <w:r w:rsidR="006A6686">
        <w:t>A</w:t>
      </w:r>
      <w:r w:rsidRPr="005C61AE">
        <w:t xml:space="preserve">llowed to </w:t>
      </w:r>
      <w:r w:rsidR="006A6686">
        <w:t>T</w:t>
      </w:r>
      <w:r w:rsidRPr="005C61AE">
        <w:t xml:space="preserve">ake </w:t>
      </w:r>
      <w:r w:rsidR="006A6686">
        <w:t>N</w:t>
      </w:r>
      <w:r w:rsidRPr="005C61AE">
        <w:t xml:space="preserve">on-validated "pre-calculus" </w:t>
      </w:r>
      <w:r w:rsidR="006A6686">
        <w:t>C</w:t>
      </w:r>
      <w:r w:rsidRPr="005C61AE">
        <w:t xml:space="preserve">lasses as </w:t>
      </w:r>
      <w:r w:rsidR="006A6686">
        <w:t>E</w:t>
      </w:r>
      <w:r w:rsidRPr="005C61AE">
        <w:t>lectives</w:t>
      </w:r>
      <w:bookmarkEnd w:id="76"/>
    </w:p>
    <w:p w14:paraId="607ADFFF" w14:textId="0FD6D28D" w:rsidR="005C61AE" w:rsidRPr="005C61AE" w:rsidRDefault="005C61AE" w:rsidP="005C61AE">
      <w:r w:rsidRPr="005C61AE">
        <w:t>Whereas, AB 1705 (Irwin, 2022)</w:t>
      </w:r>
      <w:r w:rsidR="00AD410E">
        <w:rPr>
          <w:rStyle w:val="FootnoteReference"/>
        </w:rPr>
        <w:footnoteReference w:id="137"/>
      </w:r>
      <w:r w:rsidRPr="005C61AE">
        <w:t xml:space="preserve"> </w:t>
      </w:r>
      <w:r w:rsidR="001A4B68">
        <w:t>section</w:t>
      </w:r>
      <w:r w:rsidRPr="005C61AE">
        <w:t xml:space="preserve"> 3(</w:t>
      </w:r>
      <w:proofErr w:type="spellStart"/>
      <w:r w:rsidRPr="005C61AE">
        <w:t>i</w:t>
      </w:r>
      <w:proofErr w:type="spellEnd"/>
      <w:r w:rsidRPr="005C61AE">
        <w:t xml:space="preserve">) does not prevent California Community Colleges science, technology, engineering, and mathematics students from taking algebra, trigonometry, or precalculus as an elective, simultaneous with, or subsequent to calculus, so long as the “pre-calculus” class is not taken before the student is placed and enrolled in calculus; </w:t>
      </w:r>
    </w:p>
    <w:p w14:paraId="64F018F2" w14:textId="3D5F05F8" w:rsidR="005C61AE" w:rsidRPr="005C61AE" w:rsidRDefault="005C61AE" w:rsidP="005C61AE">
      <w:r w:rsidRPr="005C61AE">
        <w:t xml:space="preserve">Whereas, AB 1705 </w:t>
      </w:r>
      <w:r w:rsidR="001A4B68">
        <w:t xml:space="preserve">section </w:t>
      </w:r>
      <w:r w:rsidRPr="005C61AE">
        <w:t xml:space="preserve">3(f)(2) allows community colleges to offer "pre-calculus" math courses to </w:t>
      </w:r>
      <w:r w:rsidR="000E4622">
        <w:t>science, technology, engineering, and math</w:t>
      </w:r>
      <w:r w:rsidR="000E4622" w:rsidRPr="00C606AA">
        <w:t xml:space="preserve"> </w:t>
      </w:r>
      <w:r w:rsidR="000E4622">
        <w:t xml:space="preserve">(STEM) </w:t>
      </w:r>
      <w:r w:rsidRPr="005C61AE">
        <w:t>majors so long as the students are not recommended or required to enroll in the course, and so long as students are notified that the course is optional and does not improve their chances of completing calculus for their STEM program;</w:t>
      </w:r>
    </w:p>
    <w:p w14:paraId="69F9D78D" w14:textId="2D107055" w:rsidR="005C61AE" w:rsidRPr="005C61AE" w:rsidRDefault="005C61AE" w:rsidP="005C61AE">
      <w:r w:rsidRPr="005C61AE">
        <w:lastRenderedPageBreak/>
        <w:t xml:space="preserve">Whereas, </w:t>
      </w:r>
      <w:r w:rsidR="0026337E">
        <w:t>S</w:t>
      </w:r>
      <w:r w:rsidRPr="005C61AE">
        <w:t xml:space="preserve">ome students may be interested in taking "pre-calculus" courses for their own sake, regardless </w:t>
      </w:r>
      <w:r w:rsidR="007D4A04">
        <w:t xml:space="preserve">of </w:t>
      </w:r>
      <w:r w:rsidRPr="005C61AE">
        <w:t>their calculus preparatory values; and</w:t>
      </w:r>
    </w:p>
    <w:p w14:paraId="30CF1BAF" w14:textId="1627AC6E" w:rsidR="005C61AE" w:rsidRPr="005C61AE" w:rsidRDefault="005C61AE" w:rsidP="005C61AE">
      <w:r w:rsidRPr="005C61AE">
        <w:t xml:space="preserve">Whereas, </w:t>
      </w:r>
      <w:r w:rsidR="0057433C">
        <w:t>T</w:t>
      </w:r>
      <w:r w:rsidRPr="005C61AE">
        <w:t xml:space="preserve">he California Community Colleges Chancellor’s Office prohibits colleges that are unable to validate, or get interim approval for, “pre-calculus” courses from offering those courses as electives to any </w:t>
      </w:r>
      <w:r w:rsidR="007E06E4">
        <w:t>science, technology, engineering, and math</w:t>
      </w:r>
      <w:r w:rsidR="007E06E4" w:rsidRPr="00C606AA">
        <w:t xml:space="preserve"> </w:t>
      </w:r>
      <w:r w:rsidRPr="005C61AE">
        <w:t>students that desire such an elective</w:t>
      </w:r>
      <w:r w:rsidRPr="005C61AE">
        <w:rPr>
          <w:vertAlign w:val="superscript"/>
        </w:rPr>
        <w:footnoteReference w:id="138"/>
      </w:r>
      <w:r w:rsidRPr="005C61AE">
        <w:t>;</w:t>
      </w:r>
    </w:p>
    <w:p w14:paraId="1465CBCA" w14:textId="16E6DF58" w:rsidR="005C61AE" w:rsidRPr="005C61AE" w:rsidRDefault="005C61AE" w:rsidP="005C61AE">
      <w:r w:rsidRPr="005C61AE">
        <w:t xml:space="preserve">Resolved, </w:t>
      </w:r>
      <w:r w:rsidRPr="005C61AE">
        <w:rPr>
          <w:lang w:val="en"/>
        </w:rPr>
        <w:t xml:space="preserve">That the Academic Senate for California Community Colleges </w:t>
      </w:r>
      <w:r w:rsidRPr="005C61AE">
        <w:t xml:space="preserve">encourage the California Community College’s Chancellor’s Office to reconsider its implementation guidance of AB 1705 </w:t>
      </w:r>
      <w:r w:rsidR="0026337E">
        <w:t>(Irwin, 2022)</w:t>
      </w:r>
      <w:r w:rsidR="0026337E">
        <w:rPr>
          <w:rStyle w:val="FootnoteReference"/>
        </w:rPr>
        <w:footnoteReference w:id="139"/>
      </w:r>
      <w:r w:rsidR="0026337E">
        <w:t xml:space="preserve"> </w:t>
      </w:r>
      <w:r w:rsidRPr="005C61AE">
        <w:t>as delineated in the February 27, 2024 Guidance Memo ESLIE 24-1</w:t>
      </w:r>
      <w:r w:rsidR="00957267">
        <w:t>5</w:t>
      </w:r>
      <w:r w:rsidR="0021428D">
        <w:rPr>
          <w:rStyle w:val="FootnoteReference"/>
        </w:rPr>
        <w:footnoteReference w:id="140"/>
      </w:r>
      <w:r w:rsidRPr="005C61AE">
        <w:t xml:space="preserve"> in such a way that it follows the language of </w:t>
      </w:r>
      <w:r w:rsidR="00C628BC">
        <w:t>section</w:t>
      </w:r>
      <w:r w:rsidRPr="005C61AE">
        <w:t xml:space="preserve"> 3(f)(2) and </w:t>
      </w:r>
      <w:r w:rsidR="001A4B68">
        <w:t>section</w:t>
      </w:r>
      <w:r w:rsidRPr="005C61AE">
        <w:t xml:space="preserve"> 3(</w:t>
      </w:r>
      <w:proofErr w:type="spellStart"/>
      <w:r w:rsidRPr="005C61AE">
        <w:t>i</w:t>
      </w:r>
      <w:proofErr w:type="spellEnd"/>
      <w:r w:rsidRPr="005C61AE">
        <w:t xml:space="preserve">) and allows any </w:t>
      </w:r>
      <w:r w:rsidR="00E75C27">
        <w:t>science, technology, engineering, and math</w:t>
      </w:r>
      <w:r w:rsidR="00E75C27" w:rsidRPr="00C606AA">
        <w:t xml:space="preserve"> </w:t>
      </w:r>
      <w:r w:rsidR="00E75C27">
        <w:t xml:space="preserve">(STEM) </w:t>
      </w:r>
      <w:r w:rsidRPr="005C61AE">
        <w:t xml:space="preserve">student to take </w:t>
      </w:r>
      <w:r w:rsidR="00FA1CE5">
        <w:t>t</w:t>
      </w:r>
      <w:r w:rsidRPr="005C61AE">
        <w:t xml:space="preserve">rigonometry (C-ID 851), </w:t>
      </w:r>
      <w:r w:rsidR="00FA1CE5">
        <w:t>c</w:t>
      </w:r>
      <w:r w:rsidRPr="005C61AE">
        <w:t>ollege </w:t>
      </w:r>
      <w:r w:rsidR="00FA1CE5">
        <w:t>a</w:t>
      </w:r>
      <w:r w:rsidRPr="005C61AE">
        <w:t xml:space="preserve">lgebra (C-ID 150 or 151), or </w:t>
      </w:r>
      <w:r w:rsidR="00103375" w:rsidRPr="00C724F2">
        <w:t>pre-cal</w:t>
      </w:r>
      <w:r w:rsidRPr="00C724F2">
        <w:t>culus</w:t>
      </w:r>
      <w:r w:rsidRPr="005C61AE">
        <w:t xml:space="preserve"> and </w:t>
      </w:r>
      <w:r w:rsidR="00FA1CE5">
        <w:t>t</w:t>
      </w:r>
      <w:r w:rsidRPr="005C61AE">
        <w:t>rigonometry (C-ID 955 or 155) at California Community Colleges that do</w:t>
      </w:r>
      <w:r w:rsidR="002B269B">
        <w:t xml:space="preserve"> </w:t>
      </w:r>
      <w:r w:rsidRPr="005C61AE">
        <w:t>n</w:t>
      </w:r>
      <w:r w:rsidR="002B269B">
        <w:t>o</w:t>
      </w:r>
      <w:r w:rsidRPr="005C61AE">
        <w:t xml:space="preserve">t "validate" the course, so long as the course is not taken before the student is placed and enrolled in </w:t>
      </w:r>
      <w:r w:rsidR="009455AF">
        <w:t>c</w:t>
      </w:r>
      <w:r w:rsidRPr="005C61AE">
        <w:t>alculus, it is offered as an elective, "the college [does] not recommend or require students to enroll in that course," and the college notifies "students who continue to enroll in the course that it is optional and does not improve their chances of completing calculus for their STEM program."</w:t>
      </w:r>
      <w:r w:rsidR="00F41C5D">
        <w:t>, as required by AB 1705 (Irwin, 2022).</w:t>
      </w:r>
    </w:p>
    <w:p w14:paraId="7A00A91E" w14:textId="77777777" w:rsidR="005C61AE" w:rsidRDefault="005C61AE" w:rsidP="005C61AE">
      <w:r w:rsidRPr="005C61AE">
        <w:t>Contact: Matthew Morgan, Moorpark College</w:t>
      </w:r>
    </w:p>
    <w:p w14:paraId="32CF3C1F" w14:textId="44794D91" w:rsidR="008B7E7E" w:rsidRDefault="008B7E7E" w:rsidP="005C61AE">
      <w:r>
        <w:t>MSC</w:t>
      </w:r>
    </w:p>
    <w:p w14:paraId="52C7A044" w14:textId="77777777" w:rsidR="00DE4E76" w:rsidRPr="005C61AE" w:rsidRDefault="00DE4E76" w:rsidP="005C61AE"/>
    <w:p w14:paraId="5B37A2D0" w14:textId="6C879A8A" w:rsidR="0001533B" w:rsidRPr="0001533B" w:rsidRDefault="0001533B" w:rsidP="0001533B">
      <w:pPr>
        <w:pStyle w:val="Heading2"/>
        <w:spacing w:after="240"/>
      </w:pPr>
      <w:bookmarkStart w:id="77" w:name="_Toc165038265"/>
      <w:r w:rsidRPr="0001533B">
        <w:t>114.0</w:t>
      </w:r>
      <w:r w:rsidR="008B0AE9">
        <w:t>6</w:t>
      </w:r>
      <w:r w:rsidRPr="0001533B">
        <w:t xml:space="preserve"> </w:t>
      </w:r>
      <w:r w:rsidR="00314E0A">
        <w:t xml:space="preserve">S24 </w:t>
      </w:r>
      <w:r w:rsidR="00AF1AEC">
        <w:t xml:space="preserve">Update </w:t>
      </w:r>
      <w:r w:rsidR="00AF1AEC" w:rsidRPr="0001533B">
        <w:t>Transfer Level Gateway Completion Dashboard</w:t>
      </w:r>
      <w:bookmarkEnd w:id="77"/>
    </w:p>
    <w:p w14:paraId="162DF568" w14:textId="5878DFC5" w:rsidR="0001533B" w:rsidRPr="0001533B" w:rsidRDefault="0001533B" w:rsidP="0001533B">
      <w:r w:rsidRPr="0001533B">
        <w:t>Whereas, The California Community College Chancellor’s Office issued a memo, “ESLEI 24-15 Required Action: AB 1705 Validation of Equitable Placement, Support and Completion Practices for STEM Programs,” dated February 27, 2024</w:t>
      </w:r>
      <w:r>
        <w:rPr>
          <w:rStyle w:val="FootnoteReference"/>
        </w:rPr>
        <w:footnoteReference w:id="141"/>
      </w:r>
      <w:r w:rsidRPr="0001533B">
        <w:t xml:space="preserve">, instructing colleges to justify the need to keep pre-calculus courses, without which each college’s students will no longer have access to college algebra, trigonometry, or pre-calculus after July 1, 2025, but will be placed directly into </w:t>
      </w:r>
      <w:r w:rsidR="00C44BC8">
        <w:t>c</w:t>
      </w:r>
      <w:r w:rsidRPr="0001533B">
        <w:t>alculus I;</w:t>
      </w:r>
    </w:p>
    <w:p w14:paraId="7C2C5246" w14:textId="6B9CF9A6" w:rsidR="0001533B" w:rsidRPr="0001533B" w:rsidRDefault="0001533B" w:rsidP="0001533B">
      <w:r w:rsidRPr="0001533B">
        <w:lastRenderedPageBreak/>
        <w:t>Whereas, System-wide application of the California Community Colleges Chancellor’s Office’s “AB 1705 Implementation Guide”</w:t>
      </w:r>
      <w:r w:rsidR="00C72C11">
        <w:rPr>
          <w:rStyle w:val="FootnoteReference"/>
        </w:rPr>
        <w:footnoteReference w:id="142"/>
      </w:r>
      <w:r w:rsidRPr="0001533B">
        <w:t xml:space="preserve"> has resulted in the elimination of nearly all pre-transfer level </w:t>
      </w:r>
      <w:r w:rsidR="00FB65F0">
        <w:t>m</w:t>
      </w:r>
      <w:r w:rsidRPr="0001533B">
        <w:t>ath courses at the California Community Colleges, leaving our students few options to take these courses at California Community Colleges on or about July 1, 2023;</w:t>
      </w:r>
    </w:p>
    <w:p w14:paraId="4B5D3550" w14:textId="4ADA02D5" w:rsidR="0001533B" w:rsidRPr="0001533B" w:rsidRDefault="0001533B" w:rsidP="0001533B">
      <w:r w:rsidRPr="0001533B">
        <w:t xml:space="preserve">Whereas, There exist campuses of the University of California (UC) and the California State University (CSU) </w:t>
      </w:r>
      <w:r w:rsidR="00544632">
        <w:t xml:space="preserve">that </w:t>
      </w:r>
      <w:r w:rsidRPr="0001533B">
        <w:t xml:space="preserve">offer </w:t>
      </w:r>
      <w:r w:rsidR="002D525C">
        <w:t>s</w:t>
      </w:r>
      <w:r w:rsidRPr="0001533B">
        <w:t>cience,</w:t>
      </w:r>
      <w:r w:rsidR="002D525C">
        <w:t xml:space="preserve"> t</w:t>
      </w:r>
      <w:r w:rsidRPr="0001533B">
        <w:t>echnology,</w:t>
      </w:r>
      <w:r w:rsidR="002D525C">
        <w:t xml:space="preserve"> e</w:t>
      </w:r>
      <w:r w:rsidRPr="0001533B">
        <w:t xml:space="preserve">ngineering, and </w:t>
      </w:r>
      <w:r w:rsidR="002D525C">
        <w:t>m</w:t>
      </w:r>
      <w:r w:rsidRPr="0001533B">
        <w:t>athematics</w:t>
      </w:r>
      <w:r w:rsidR="00544632">
        <w:t xml:space="preserve"> (STEM)</w:t>
      </w:r>
      <w:r w:rsidRPr="0001533B">
        <w:t xml:space="preserve"> preparatory coursework</w:t>
      </w:r>
      <w:r w:rsidR="00C9136D">
        <w:t>,</w:t>
      </w:r>
      <w:r w:rsidRPr="0001533B">
        <w:t xml:space="preserve"> and minimum entrance requirements </w:t>
      </w:r>
      <w:r w:rsidR="00C9136D">
        <w:t xml:space="preserve">for STEM students at these campuses </w:t>
      </w:r>
      <w:r w:rsidRPr="0001533B">
        <w:t xml:space="preserve">include completion of </w:t>
      </w:r>
      <w:r w:rsidR="00FE7196">
        <w:t xml:space="preserve">at least </w:t>
      </w:r>
      <w:r w:rsidR="00565CF7">
        <w:t>i</w:t>
      </w:r>
      <w:r w:rsidRPr="0001533B">
        <w:t xml:space="preserve">ntermediate </w:t>
      </w:r>
      <w:r w:rsidR="00565CF7">
        <w:t>a</w:t>
      </w:r>
      <w:r w:rsidRPr="0001533B">
        <w:t>lgebra, yet the California Community Colleges admit all high school graduates, even those that have not completed minimum entrance requirements for the UC and CSU systems; and</w:t>
      </w:r>
    </w:p>
    <w:p w14:paraId="51D31341" w14:textId="2AB3E54E" w:rsidR="0001533B" w:rsidRPr="0001533B" w:rsidRDefault="0001533B" w:rsidP="0001533B">
      <w:r w:rsidRPr="0001533B">
        <w:t xml:space="preserve">Whereas, </w:t>
      </w:r>
      <w:r w:rsidR="00B33642">
        <w:t>T</w:t>
      </w:r>
      <w:r w:rsidRPr="0001533B">
        <w:t>he California Community Colleges Chancellor’s Office (CCCCO) guidelines for implementation of AB 1705 has continuously been the strictest available and such guidelines for implementation have been justified by data collected and analyzed by The Research and Planning Group contracted by the CCCCO;</w:t>
      </w:r>
    </w:p>
    <w:p w14:paraId="2996929C" w14:textId="56454420" w:rsidR="0001533B" w:rsidRPr="0001533B" w:rsidRDefault="0001533B" w:rsidP="0001533B">
      <w:r w:rsidRPr="0001533B">
        <w:t>Resolved, That the Academic Senate of the California Community Colleges request that the California Community Colleges Chancellor’s Office Transfer Level Gateway Completion Dashboard include a data element on all student enrollment, including enrollment data prior to census date; </w:t>
      </w:r>
    </w:p>
    <w:p w14:paraId="10833707" w14:textId="1AAD4681" w:rsidR="0001533B" w:rsidRPr="0001533B" w:rsidRDefault="0001533B" w:rsidP="0001533B">
      <w:r w:rsidRPr="0001533B">
        <w:t xml:space="preserve">Resolved, That the Academic Senate of the California Community Colleges request that the California Community Colleges Chancellor’s Office Transfer Level Gateway Completion Dashboard include a data element on the number of </w:t>
      </w:r>
      <w:r w:rsidR="009120DC">
        <w:t>science, technology, engineering, and math</w:t>
      </w:r>
      <w:r w:rsidR="009120DC" w:rsidRPr="00C606AA">
        <w:t xml:space="preserve"> </w:t>
      </w:r>
      <w:r w:rsidRPr="0001533B">
        <w:t>students before and after the implementation stages of AB 1705 (Irwin, 2022)</w:t>
      </w:r>
      <w:r w:rsidR="000C2E61">
        <w:rPr>
          <w:rStyle w:val="FootnoteReference"/>
        </w:rPr>
        <w:footnoteReference w:id="143"/>
      </w:r>
      <w:r w:rsidRPr="0001533B">
        <w:t>, the first stage which eliminated intermediate algebra, and the second stage that will eliminate pre-calculus courses;</w:t>
      </w:r>
    </w:p>
    <w:p w14:paraId="14E2BE8B" w14:textId="5CD260A9" w:rsidR="0001533B" w:rsidRPr="0001533B" w:rsidRDefault="0001533B" w:rsidP="0001533B">
      <w:r w:rsidRPr="0001533B">
        <w:t xml:space="preserve">Resolved, That the Academic Senate of the California Community Colleges request that the California Community Colleges Chancellor’s Office </w:t>
      </w:r>
      <w:r w:rsidR="00C26079">
        <w:t xml:space="preserve">(CCCCO) </w:t>
      </w:r>
      <w:r w:rsidRPr="0001533B">
        <w:t>compare the withdrawal pre-</w:t>
      </w:r>
      <w:r w:rsidR="003467F2">
        <w:t>c</w:t>
      </w:r>
      <w:r w:rsidRPr="0001533B">
        <w:t>ensus data to the post-</w:t>
      </w:r>
      <w:r w:rsidR="003467F2">
        <w:t>c</w:t>
      </w:r>
      <w:r w:rsidRPr="0001533B">
        <w:t>ensus student success data and include this comparison in the CCCCO’s Transfer Level Gateway Completion Dashboard; and</w:t>
      </w:r>
    </w:p>
    <w:p w14:paraId="59B49A69" w14:textId="44E840C1" w:rsidR="0001533B" w:rsidRPr="0001533B" w:rsidRDefault="0001533B" w:rsidP="0001533B">
      <w:r w:rsidRPr="0001533B">
        <w:t xml:space="preserve">Resolved, </w:t>
      </w:r>
      <w:r w:rsidR="005458AF">
        <w:t>T</w:t>
      </w:r>
      <w:r w:rsidRPr="0001533B">
        <w:t>hat the Academic Senate of the California Community College request that the California Community Colleges Chancellor’s Office utilize both student access and withdrawal data in math courses when implementing the</w:t>
      </w:r>
      <w:r w:rsidRPr="0001533B">
        <w:rPr>
          <w:i/>
          <w:iCs/>
        </w:rPr>
        <w:t xml:space="preserve"> Vision 2030</w:t>
      </w:r>
      <w:r w:rsidRPr="0001533B">
        <w:t>.</w:t>
      </w:r>
    </w:p>
    <w:p w14:paraId="009485AA" w14:textId="77777777" w:rsidR="0001533B" w:rsidRPr="0001533B" w:rsidRDefault="0001533B" w:rsidP="0001533B">
      <w:r w:rsidRPr="0001533B">
        <w:t>Contact: June Yang, Grossmont College</w:t>
      </w:r>
    </w:p>
    <w:p w14:paraId="7D55D572" w14:textId="021CD6B0" w:rsidR="0044209B" w:rsidRDefault="002E7D7F" w:rsidP="00261562">
      <w:r>
        <w:t>MSU</w:t>
      </w:r>
    </w:p>
    <w:p w14:paraId="6E87D40D" w14:textId="77777777" w:rsidR="00AA2826" w:rsidRDefault="00AA2826" w:rsidP="00AA2826">
      <w:pPr>
        <w:pStyle w:val="Heading1"/>
        <w:jc w:val="center"/>
      </w:pPr>
      <w:bookmarkStart w:id="78" w:name="_Toc152013047"/>
      <w:bookmarkStart w:id="79" w:name="_Toc165038266"/>
      <w:r>
        <w:lastRenderedPageBreak/>
        <w:t>FAILED RESOLUTIONS AND AMENDMENTS</w:t>
      </w:r>
      <w:bookmarkEnd w:id="78"/>
      <w:bookmarkEnd w:id="79"/>
    </w:p>
    <w:p w14:paraId="11BA788C" w14:textId="77777777" w:rsidR="00081EA5" w:rsidRDefault="00081EA5" w:rsidP="00081EA5"/>
    <w:p w14:paraId="51168C8D" w14:textId="2ADB64A3" w:rsidR="00081EA5" w:rsidRDefault="00081EA5" w:rsidP="00081EA5">
      <w:pPr>
        <w:pStyle w:val="Heading2"/>
        <w:spacing w:after="240"/>
        <w:rPr>
          <w:rStyle w:val="eop"/>
        </w:rPr>
      </w:pPr>
      <w:bookmarkStart w:id="80" w:name="_Toc165038267"/>
      <w:r w:rsidRPr="00306589">
        <w:rPr>
          <w:rStyle w:val="normaltextrun"/>
        </w:rPr>
        <w:t>102.03.01 S24 Amend Resolution 102.03</w:t>
      </w:r>
      <w:bookmarkEnd w:id="80"/>
      <w:r w:rsidRPr="00306589">
        <w:rPr>
          <w:rStyle w:val="normaltextrun"/>
        </w:rPr>
        <w:t xml:space="preserve"> </w:t>
      </w:r>
      <w:r w:rsidRPr="006C3AF8">
        <w:rPr>
          <w:rStyle w:val="eop"/>
        </w:rPr>
        <w:t> </w:t>
      </w:r>
    </w:p>
    <w:p w14:paraId="691AE393" w14:textId="77777777" w:rsidR="00081EA5" w:rsidRPr="00DB108C" w:rsidRDefault="00081EA5" w:rsidP="00081EA5">
      <w:pPr>
        <w:rPr>
          <w:rFonts w:cstheme="minorHAnsi"/>
        </w:rPr>
      </w:pPr>
      <w:r w:rsidRPr="00DB108C">
        <w:rPr>
          <w:rFonts w:cstheme="minorHAnsi"/>
        </w:rPr>
        <w:t>Strike the 1</w:t>
      </w:r>
      <w:r w:rsidRPr="00DB108C">
        <w:rPr>
          <w:rFonts w:cstheme="minorHAnsi"/>
          <w:vertAlign w:val="superscript"/>
        </w:rPr>
        <w:t>st</w:t>
      </w:r>
      <w:r w:rsidRPr="00DB108C">
        <w:rPr>
          <w:rFonts w:cstheme="minorHAnsi"/>
        </w:rPr>
        <w:t xml:space="preserve"> Resolved</w:t>
      </w:r>
    </w:p>
    <w:p w14:paraId="47995CE3" w14:textId="77777777" w:rsidR="00081EA5" w:rsidRPr="00DB108C" w:rsidRDefault="00081EA5" w:rsidP="00081EA5">
      <w:pPr>
        <w:pStyle w:val="paragraph"/>
        <w:spacing w:before="0" w:beforeAutospacing="0" w:after="0" w:afterAutospacing="0"/>
        <w:textAlignment w:val="baseline"/>
        <w:rPr>
          <w:rStyle w:val="eop"/>
          <w:rFonts w:asciiTheme="minorHAnsi" w:hAnsiTheme="minorHAnsi" w:cstheme="minorHAnsi"/>
        </w:rPr>
      </w:pPr>
      <w:r w:rsidRPr="00DB108C">
        <w:rPr>
          <w:rStyle w:val="normaltextrun"/>
          <w:rFonts w:asciiTheme="minorHAnsi" w:hAnsiTheme="minorHAnsi" w:cstheme="minorHAnsi"/>
          <w:strike/>
        </w:rPr>
        <w:t>Resolved, That the Academic Senate for California Community Colleges support that students have access to an equitable college experience whether beginning their college education at a 4-year institution or beginning at a California Community College and transferring to a 4-year institution;</w:t>
      </w:r>
      <w:r w:rsidRPr="00DB108C">
        <w:rPr>
          <w:rStyle w:val="eop"/>
          <w:rFonts w:asciiTheme="minorHAnsi" w:hAnsiTheme="minorHAnsi" w:cstheme="minorHAnsi"/>
        </w:rPr>
        <w:t> </w:t>
      </w:r>
    </w:p>
    <w:p w14:paraId="618D4C2D" w14:textId="77777777" w:rsidR="00081EA5" w:rsidRPr="00DB108C" w:rsidRDefault="00081EA5" w:rsidP="00081EA5">
      <w:pPr>
        <w:pStyle w:val="paragraph"/>
        <w:spacing w:before="0" w:beforeAutospacing="0" w:after="0" w:afterAutospacing="0"/>
        <w:textAlignment w:val="baseline"/>
        <w:rPr>
          <w:rFonts w:asciiTheme="minorHAnsi" w:hAnsiTheme="minorHAnsi" w:cstheme="minorHAnsi"/>
          <w:sz w:val="18"/>
          <w:szCs w:val="18"/>
        </w:rPr>
      </w:pPr>
    </w:p>
    <w:p w14:paraId="292AE1E2" w14:textId="77777777" w:rsidR="00D05553" w:rsidRDefault="00081EA5" w:rsidP="00D05553">
      <w:pPr>
        <w:pStyle w:val="paragraph"/>
        <w:spacing w:before="0" w:beforeAutospacing="0" w:after="0" w:afterAutospacing="0"/>
        <w:textAlignment w:val="baseline"/>
        <w:rPr>
          <w:rStyle w:val="eop"/>
          <w:rFonts w:asciiTheme="minorHAnsi" w:hAnsiTheme="minorHAnsi" w:cstheme="minorHAnsi"/>
        </w:rPr>
      </w:pPr>
      <w:r w:rsidRPr="00DB108C">
        <w:rPr>
          <w:rStyle w:val="normaltextrun"/>
          <w:rFonts w:asciiTheme="minorHAnsi" w:hAnsiTheme="minorHAnsi" w:cstheme="minorHAnsi"/>
        </w:rPr>
        <w:t>Contact: Joshua Scott, Solano Community College</w:t>
      </w:r>
      <w:r w:rsidRPr="00DB108C">
        <w:rPr>
          <w:rStyle w:val="eop"/>
          <w:rFonts w:asciiTheme="minorHAnsi" w:hAnsiTheme="minorHAnsi" w:cstheme="minorHAnsi"/>
        </w:rPr>
        <w:t> </w:t>
      </w:r>
    </w:p>
    <w:p w14:paraId="06F09747" w14:textId="77777777" w:rsidR="00FF48A1" w:rsidRDefault="00FF48A1" w:rsidP="00D05553">
      <w:pPr>
        <w:pStyle w:val="paragraph"/>
        <w:spacing w:before="0" w:beforeAutospacing="0" w:after="0" w:afterAutospacing="0"/>
        <w:textAlignment w:val="baseline"/>
        <w:rPr>
          <w:rStyle w:val="eop"/>
          <w:rFonts w:asciiTheme="minorHAnsi" w:hAnsiTheme="minorHAnsi" w:cstheme="minorHAnsi"/>
        </w:rPr>
      </w:pPr>
    </w:p>
    <w:p w14:paraId="7F331352" w14:textId="326FD2A3" w:rsidR="00FF48A1" w:rsidRDefault="00FF48A1" w:rsidP="00D05553">
      <w:pPr>
        <w:pStyle w:val="paragraph"/>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MSF</w:t>
      </w:r>
    </w:p>
    <w:p w14:paraId="4BEEF880" w14:textId="77777777" w:rsidR="0060588A" w:rsidRDefault="0060588A" w:rsidP="00D05553">
      <w:pPr>
        <w:pStyle w:val="paragraph"/>
        <w:spacing w:before="0" w:beforeAutospacing="0" w:after="0" w:afterAutospacing="0"/>
        <w:textAlignment w:val="baseline"/>
        <w:rPr>
          <w:rStyle w:val="eop"/>
          <w:rFonts w:asciiTheme="minorHAnsi" w:hAnsiTheme="minorHAnsi" w:cstheme="minorHAnsi"/>
        </w:rPr>
      </w:pPr>
    </w:p>
    <w:p w14:paraId="3B4F26F5" w14:textId="77777777" w:rsidR="00094C32" w:rsidRDefault="00094C32" w:rsidP="00081EA5"/>
    <w:p w14:paraId="6D004783" w14:textId="66E98ABC" w:rsidR="004376B5" w:rsidRPr="00154B46" w:rsidRDefault="004376B5" w:rsidP="004376B5">
      <w:pPr>
        <w:pStyle w:val="Heading2"/>
        <w:spacing w:after="240"/>
        <w:rPr>
          <w:lang w:val="en"/>
        </w:rPr>
      </w:pPr>
      <w:bookmarkStart w:id="81" w:name="_Toc165038268"/>
      <w:r w:rsidRPr="00154B46">
        <w:rPr>
          <w:lang w:val="en"/>
        </w:rPr>
        <w:t>113.0</w:t>
      </w:r>
      <w:r w:rsidR="00F277F4">
        <w:rPr>
          <w:lang w:val="en"/>
        </w:rPr>
        <w:t>9</w:t>
      </w:r>
      <w:r>
        <w:rPr>
          <w:lang w:val="en"/>
        </w:rPr>
        <w:t xml:space="preserve"> S24 Oppose </w:t>
      </w:r>
      <w:r w:rsidRPr="00154B46">
        <w:rPr>
          <w:lang w:val="en"/>
        </w:rPr>
        <w:t xml:space="preserve">Senate Bill 1287 (Glazer, as of April 3, 2024) Public </w:t>
      </w:r>
      <w:r>
        <w:rPr>
          <w:lang w:val="en"/>
        </w:rPr>
        <w:t>P</w:t>
      </w:r>
      <w:r w:rsidRPr="00154B46">
        <w:rPr>
          <w:lang w:val="en"/>
        </w:rPr>
        <w:t xml:space="preserve">ostsecondary </w:t>
      </w:r>
      <w:r>
        <w:rPr>
          <w:lang w:val="en"/>
        </w:rPr>
        <w:t>E</w:t>
      </w:r>
      <w:r w:rsidRPr="00154B46">
        <w:rPr>
          <w:lang w:val="en"/>
        </w:rPr>
        <w:t xml:space="preserve">ducation: Equity in Higher Education Act: </w:t>
      </w:r>
      <w:r>
        <w:rPr>
          <w:lang w:val="en"/>
        </w:rPr>
        <w:t>P</w:t>
      </w:r>
      <w:r w:rsidRPr="00154B46">
        <w:rPr>
          <w:lang w:val="en"/>
        </w:rPr>
        <w:t xml:space="preserve">rohibition on </w:t>
      </w:r>
      <w:r>
        <w:rPr>
          <w:lang w:val="en"/>
        </w:rPr>
        <w:t>H</w:t>
      </w:r>
      <w:r w:rsidRPr="00154B46">
        <w:rPr>
          <w:lang w:val="en"/>
        </w:rPr>
        <w:t xml:space="preserve">arassment, </w:t>
      </w:r>
      <w:r>
        <w:rPr>
          <w:lang w:val="en"/>
        </w:rPr>
        <w:t>I</w:t>
      </w:r>
      <w:r w:rsidRPr="00154B46">
        <w:rPr>
          <w:lang w:val="en"/>
        </w:rPr>
        <w:t xml:space="preserve">ntimidation, and </w:t>
      </w:r>
      <w:r>
        <w:rPr>
          <w:lang w:val="en"/>
        </w:rPr>
        <w:t>D</w:t>
      </w:r>
      <w:r w:rsidRPr="00154B46">
        <w:rPr>
          <w:lang w:val="en"/>
        </w:rPr>
        <w:t>iscrimination</w:t>
      </w:r>
      <w:bookmarkEnd w:id="81"/>
    </w:p>
    <w:p w14:paraId="3EC46BBE" w14:textId="77777777" w:rsidR="004376B5" w:rsidRPr="00154B46" w:rsidRDefault="004376B5" w:rsidP="004376B5">
      <w:r w:rsidRPr="00154B46">
        <w:t>Whereas, Nationwide efforts have successfully silenced</w:t>
      </w:r>
      <w:r w:rsidRPr="00154B46">
        <w:rPr>
          <w:vertAlign w:val="superscript"/>
        </w:rPr>
        <w:footnoteReference w:id="144"/>
      </w:r>
      <w:r w:rsidRPr="00154B46">
        <w:t xml:space="preserve"> students and faculty on college campuses for speaking in support of the Palestinian people, in the name of antisemitism, despite that many scholars</w:t>
      </w:r>
      <w:r w:rsidRPr="00154B46">
        <w:rPr>
          <w:vertAlign w:val="superscript"/>
        </w:rPr>
        <w:footnoteReference w:id="145"/>
      </w:r>
      <w:r w:rsidRPr="00154B46">
        <w:t>, credible publications</w:t>
      </w:r>
      <w:r w:rsidRPr="00154B46">
        <w:rPr>
          <w:vertAlign w:val="superscript"/>
        </w:rPr>
        <w:footnoteReference w:id="146"/>
      </w:r>
      <w:r w:rsidRPr="00154B46">
        <w:t>, and Jewish organizations such as Jewish Voices for Peace</w:t>
      </w:r>
      <w:r w:rsidRPr="00154B46">
        <w:rPr>
          <w:vertAlign w:val="superscript"/>
        </w:rPr>
        <w:footnoteReference w:id="147"/>
      </w:r>
      <w:r w:rsidRPr="00154B46">
        <w:t>, have argued that anti-Zionism is not antisemitic</w:t>
      </w:r>
      <w:r w:rsidRPr="00154B46">
        <w:rPr>
          <w:vertAlign w:val="superscript"/>
        </w:rPr>
        <w:footnoteReference w:id="148"/>
      </w:r>
      <w:r w:rsidRPr="00154B46">
        <w:t>, and such efforts to silence pro-Palestinian voices are explicitly Anti-Palestinian, Anti-Arab and Islamophobic;</w:t>
      </w:r>
    </w:p>
    <w:p w14:paraId="10663B4F" w14:textId="77777777" w:rsidR="004376B5" w:rsidRDefault="004376B5" w:rsidP="004376B5">
      <w:r w:rsidRPr="00154B46">
        <w:t>Whereas, SB 1287 (Glazer as of April 3, 2024)</w:t>
      </w:r>
      <w:r w:rsidRPr="00154B46">
        <w:rPr>
          <w:vertAlign w:val="superscript"/>
        </w:rPr>
        <w:footnoteReference w:id="149"/>
      </w:r>
      <w:r w:rsidRPr="00154B46">
        <w:t xml:space="preserve"> seeks to follow this nationwide trend to limit free speech </w:t>
      </w:r>
      <w:r>
        <w:t>for</w:t>
      </w:r>
      <w:r w:rsidRPr="00154B46">
        <w:t xml:space="preserve"> safety and equity on college campuses by proposing to “(1) adopt policies within campus-based student codes of conduct that prohibit violence, harassment, intimidation, and discrimination that are intended to, and are reasonably understood by the victims or hearers to, interfere with rights established pursuant to the United States Constitution or the California </w:t>
      </w:r>
      <w:r w:rsidRPr="00154B46">
        <w:lastRenderedPageBreak/>
        <w:t>Constitution or otherwise interfere with the free exchange of ideas, or call for or support genocide, (2) maintain and enforce reasonable time, place, and manner restrictions for public protests and demonstrations on campuses, as provided, and (3) develop mandatory training programs to educate students on how to exchange views in an atmosphere of mutual respect and civility,”</w:t>
      </w:r>
      <w:r>
        <w:t>;</w:t>
      </w:r>
    </w:p>
    <w:p w14:paraId="3CFDECAA" w14:textId="7636FE5C" w:rsidR="004376B5" w:rsidRPr="00154B46" w:rsidRDefault="004376B5" w:rsidP="004376B5">
      <w:r w:rsidRPr="00154B46">
        <w:t>Whereas, The American Civil Liberties Union explicitly addresses bills such as SB 1287 (Glazer as of April 3, 2024)</w:t>
      </w:r>
      <w:r w:rsidRPr="00154B46">
        <w:rPr>
          <w:vertAlign w:val="superscript"/>
        </w:rPr>
        <w:footnoteReference w:id="150"/>
      </w:r>
      <w:r w:rsidRPr="00154B46">
        <w:t xml:space="preserve"> stating: “We strongly caution universities against conflating the suppression of speech with the façade of safety,”</w:t>
      </w:r>
      <w:r w:rsidRPr="00154B46">
        <w:rPr>
          <w:vertAlign w:val="superscript"/>
        </w:rPr>
        <w:footnoteReference w:id="151"/>
      </w:r>
      <w:r w:rsidRPr="00154B46">
        <w:t>; and</w:t>
      </w:r>
    </w:p>
    <w:p w14:paraId="746CFA9D" w14:textId="36C90E93" w:rsidR="004376B5" w:rsidRPr="00154B46" w:rsidRDefault="004376B5" w:rsidP="004376B5">
      <w:pPr>
        <w:rPr>
          <w:lang w:val="en"/>
        </w:rPr>
      </w:pPr>
      <w:r w:rsidRPr="00154B46">
        <w:rPr>
          <w:lang w:val="en"/>
        </w:rPr>
        <w:t>Whereas, SB 1287 will require significant financial and human resources to implement, adding burdens on colleges, including on administrators, faculty, staff and especially students, as it will police student activists on our campuses, and commit already scarce resources to implementing these restrictive measures which will disproportionately impact students of color as Pomona College faculty and staff noted, “‘over 80% of the protesters”’ facing disciplinary action are “Black, Indigenous people of color.”</w:t>
      </w:r>
      <w:r w:rsidRPr="00154B46">
        <w:rPr>
          <w:vertAlign w:val="superscript"/>
          <w:lang w:val="en"/>
        </w:rPr>
        <w:footnoteReference w:id="152"/>
      </w:r>
      <w:r>
        <w:rPr>
          <w:lang w:val="en"/>
        </w:rPr>
        <w:t>;</w:t>
      </w:r>
    </w:p>
    <w:p w14:paraId="13D75678" w14:textId="77777777" w:rsidR="004376B5" w:rsidRPr="00154B46" w:rsidRDefault="004376B5" w:rsidP="004376B5">
      <w:r w:rsidRPr="00154B46">
        <w:t xml:space="preserve">Resolved, That the Academic Senate for California Community Colleges oppose SB 1287 </w:t>
      </w:r>
      <w:r>
        <w:t>(</w:t>
      </w:r>
      <w:r w:rsidRPr="003B4267">
        <w:t>Glazer, as of April 3, 2024</w:t>
      </w:r>
      <w:r>
        <w:t>)</w:t>
      </w:r>
      <w:r>
        <w:rPr>
          <w:rStyle w:val="FootnoteReference"/>
        </w:rPr>
        <w:footnoteReference w:id="153"/>
      </w:r>
      <w:r>
        <w:t xml:space="preserve"> </w:t>
      </w:r>
      <w:r w:rsidRPr="00154B46">
        <w:t>and any additional legislation that seeks to chill free speech and academic freedom on college campuses; and</w:t>
      </w:r>
    </w:p>
    <w:p w14:paraId="009F7202" w14:textId="74CDA9B0" w:rsidR="007B1CB1" w:rsidRPr="00BD37E6" w:rsidRDefault="004376B5" w:rsidP="007B1CB1">
      <w:pPr>
        <w:rPr>
          <w:rStyle w:val="eop"/>
          <w:rFonts w:cstheme="minorHAnsi"/>
        </w:rPr>
      </w:pPr>
      <w:r w:rsidRPr="00154B46">
        <w:rPr>
          <w:lang w:val="en"/>
        </w:rPr>
        <w:t xml:space="preserve">Resolved, That the Academic Senate for California Community Colleges oppose similar efforts to restrict free speech in relation to the dangerous conflation of support for Palestine with anti-Semitism, and conflation of calls for Palestinian freedom with </w:t>
      </w:r>
      <w:r w:rsidR="007B1CB1" w:rsidRPr="007B1CB1">
        <w:rPr>
          <w:rStyle w:val="normaltextrun"/>
          <w:rFonts w:cstheme="minorHAnsi"/>
        </w:rPr>
        <w:t>threats to the safety of Israelis.</w:t>
      </w:r>
      <w:r w:rsidR="007B1CB1" w:rsidRPr="00BD37E6">
        <w:rPr>
          <w:rStyle w:val="eop"/>
          <w:rFonts w:cstheme="minorHAnsi"/>
        </w:rPr>
        <w:t> </w:t>
      </w:r>
    </w:p>
    <w:p w14:paraId="3C27188E" w14:textId="798457DD" w:rsidR="004376B5" w:rsidRDefault="004376B5" w:rsidP="004376B5">
      <w:r w:rsidRPr="00154B46">
        <w:rPr>
          <w:lang w:val="en"/>
        </w:rPr>
        <w:t xml:space="preserve"> </w:t>
      </w:r>
      <w:r w:rsidRPr="00154B46">
        <w:t xml:space="preserve">Contact: Mona </w:t>
      </w:r>
      <w:proofErr w:type="spellStart"/>
      <w:r w:rsidRPr="00154B46">
        <w:t>Alsoraimi</w:t>
      </w:r>
      <w:proofErr w:type="spellEnd"/>
      <w:r w:rsidRPr="00154B46">
        <w:t>-Espiritu, San Diego City College</w:t>
      </w:r>
    </w:p>
    <w:p w14:paraId="58A02BC8" w14:textId="05A8F014" w:rsidR="00F644E0" w:rsidRPr="00154B46" w:rsidRDefault="00F644E0" w:rsidP="004376B5">
      <w:r>
        <w:t>MSF</w:t>
      </w:r>
    </w:p>
    <w:p w14:paraId="2C986C84" w14:textId="77777777" w:rsidR="00AA2826" w:rsidRDefault="00AA2826" w:rsidP="00261562"/>
    <w:p w14:paraId="1CBBCD0C" w14:textId="77777777" w:rsidR="00932ADB" w:rsidRDefault="00932ADB" w:rsidP="00261562"/>
    <w:p w14:paraId="0ADF372A" w14:textId="77777777" w:rsidR="00E01AB3" w:rsidRDefault="00E01AB3" w:rsidP="00E01AB3">
      <w:pPr>
        <w:pStyle w:val="Heading1"/>
        <w:jc w:val="center"/>
      </w:pPr>
      <w:bookmarkStart w:id="82" w:name="_Toc152013051"/>
      <w:bookmarkStart w:id="83" w:name="_Toc165038269"/>
      <w:r>
        <w:lastRenderedPageBreak/>
        <w:t>DELEGATES</w:t>
      </w:r>
      <w:bookmarkEnd w:id="82"/>
      <w:bookmarkEnd w:id="83"/>
    </w:p>
    <w:p w14:paraId="6E7E6648" w14:textId="77777777" w:rsidR="00785FE7" w:rsidRPr="00785FE7" w:rsidRDefault="00785FE7" w:rsidP="002822B6"/>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2340"/>
        <w:gridCol w:w="2880"/>
      </w:tblGrid>
      <w:tr w:rsidR="00785FE7" w:rsidRPr="00C9137D" w14:paraId="0AECA8AD" w14:textId="77777777" w:rsidTr="002822B6">
        <w:trPr>
          <w:trHeight w:val="216"/>
          <w:tblHeader/>
        </w:trPr>
        <w:tc>
          <w:tcPr>
            <w:tcW w:w="3415" w:type="dxa"/>
            <w:shd w:val="clear" w:color="A5A5A5" w:fill="A5A5A5"/>
            <w:noWrap/>
            <w:vAlign w:val="bottom"/>
            <w:hideMark/>
          </w:tcPr>
          <w:p w14:paraId="7C999CCA" w14:textId="77777777" w:rsidR="00785FE7" w:rsidRPr="00C9137D" w:rsidRDefault="00785FE7" w:rsidP="00A40BAE">
            <w:pPr>
              <w:rPr>
                <w:rFonts w:ascii="Calibri" w:eastAsia="Times New Roman" w:hAnsi="Calibri" w:cs="Calibri"/>
                <w:b/>
                <w:bCs/>
                <w:color w:val="000000"/>
                <w:kern w:val="0"/>
                <w:szCs w:val="24"/>
                <w14:ligatures w14:val="none"/>
              </w:rPr>
            </w:pPr>
            <w:r w:rsidRPr="00C9137D">
              <w:rPr>
                <w:rFonts w:ascii="Calibri" w:eastAsia="Times New Roman" w:hAnsi="Calibri" w:cs="Calibri"/>
                <w:b/>
                <w:bCs/>
                <w:color w:val="000000"/>
                <w:kern w:val="0"/>
                <w:szCs w:val="24"/>
                <w14:ligatures w14:val="none"/>
              </w:rPr>
              <w:t>College</w:t>
            </w:r>
          </w:p>
        </w:tc>
        <w:tc>
          <w:tcPr>
            <w:tcW w:w="2340" w:type="dxa"/>
            <w:shd w:val="clear" w:color="A5A5A5" w:fill="A5A5A5"/>
            <w:noWrap/>
            <w:vAlign w:val="bottom"/>
            <w:hideMark/>
          </w:tcPr>
          <w:p w14:paraId="2C20E9F2" w14:textId="39A12AF9" w:rsidR="00785FE7" w:rsidRPr="00C9137D" w:rsidRDefault="00785FE7" w:rsidP="00A40BAE">
            <w:pPr>
              <w:rPr>
                <w:rFonts w:ascii="Calibri" w:eastAsia="Times New Roman" w:hAnsi="Calibri" w:cs="Calibri"/>
                <w:b/>
                <w:bCs/>
                <w:color w:val="000000"/>
                <w:kern w:val="0"/>
                <w:szCs w:val="24"/>
                <w14:ligatures w14:val="none"/>
              </w:rPr>
            </w:pPr>
            <w:r w:rsidRPr="00C9137D">
              <w:rPr>
                <w:rFonts w:ascii="Calibri" w:eastAsia="Times New Roman" w:hAnsi="Calibri" w:cs="Calibri"/>
                <w:b/>
                <w:bCs/>
                <w:color w:val="000000"/>
                <w:kern w:val="0"/>
                <w:szCs w:val="24"/>
                <w14:ligatures w14:val="none"/>
              </w:rPr>
              <w:t>First</w:t>
            </w:r>
            <w:r>
              <w:rPr>
                <w:rFonts w:ascii="Calibri" w:eastAsia="Times New Roman" w:hAnsi="Calibri" w:cs="Calibri"/>
                <w:b/>
                <w:bCs/>
                <w:color w:val="000000"/>
                <w:kern w:val="0"/>
                <w:szCs w:val="24"/>
                <w14:ligatures w14:val="none"/>
              </w:rPr>
              <w:t xml:space="preserve"> </w:t>
            </w:r>
            <w:r w:rsidRPr="00C9137D">
              <w:rPr>
                <w:rFonts w:ascii="Calibri" w:eastAsia="Times New Roman" w:hAnsi="Calibri" w:cs="Calibri"/>
                <w:b/>
                <w:bCs/>
                <w:color w:val="000000"/>
                <w:kern w:val="0"/>
                <w:szCs w:val="24"/>
                <w14:ligatures w14:val="none"/>
              </w:rPr>
              <w:t>Name</w:t>
            </w:r>
          </w:p>
        </w:tc>
        <w:tc>
          <w:tcPr>
            <w:tcW w:w="2880" w:type="dxa"/>
            <w:shd w:val="clear" w:color="A5A5A5" w:fill="A5A5A5"/>
            <w:noWrap/>
            <w:vAlign w:val="bottom"/>
            <w:hideMark/>
          </w:tcPr>
          <w:p w14:paraId="05BBA66F" w14:textId="5DC5A93D" w:rsidR="00785FE7" w:rsidRPr="00C9137D" w:rsidRDefault="00785FE7" w:rsidP="00A40BAE">
            <w:pPr>
              <w:rPr>
                <w:rFonts w:ascii="Calibri" w:eastAsia="Times New Roman" w:hAnsi="Calibri" w:cs="Calibri"/>
                <w:b/>
                <w:bCs/>
                <w:color w:val="000000"/>
                <w:kern w:val="0"/>
                <w:szCs w:val="24"/>
                <w14:ligatures w14:val="none"/>
              </w:rPr>
            </w:pPr>
            <w:r w:rsidRPr="00C9137D">
              <w:rPr>
                <w:rFonts w:ascii="Calibri" w:eastAsia="Times New Roman" w:hAnsi="Calibri" w:cs="Calibri"/>
                <w:b/>
                <w:bCs/>
                <w:color w:val="000000"/>
                <w:kern w:val="0"/>
                <w:szCs w:val="24"/>
                <w14:ligatures w14:val="none"/>
              </w:rPr>
              <w:t>Last</w:t>
            </w:r>
            <w:r>
              <w:rPr>
                <w:rFonts w:ascii="Calibri" w:eastAsia="Times New Roman" w:hAnsi="Calibri" w:cs="Calibri"/>
                <w:b/>
                <w:bCs/>
                <w:color w:val="000000"/>
                <w:kern w:val="0"/>
                <w:szCs w:val="24"/>
                <w14:ligatures w14:val="none"/>
              </w:rPr>
              <w:t xml:space="preserve"> </w:t>
            </w:r>
            <w:r w:rsidRPr="00C9137D">
              <w:rPr>
                <w:rFonts w:ascii="Calibri" w:eastAsia="Times New Roman" w:hAnsi="Calibri" w:cs="Calibri"/>
                <w:b/>
                <w:bCs/>
                <w:color w:val="000000"/>
                <w:kern w:val="0"/>
                <w:szCs w:val="24"/>
                <w14:ligatures w14:val="none"/>
              </w:rPr>
              <w:t>Name</w:t>
            </w:r>
          </w:p>
        </w:tc>
      </w:tr>
      <w:tr w:rsidR="00F1381F" w:rsidRPr="00F1381F" w14:paraId="4019328A"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67FA757"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Alameda, College of</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A43744B"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Jennifer</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8D14A38"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Fowler</w:t>
            </w:r>
          </w:p>
        </w:tc>
      </w:tr>
      <w:tr w:rsidR="00F1381F" w:rsidRPr="00F1381F" w14:paraId="6E189B78"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1B4BD10"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Allan Hancock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DC5DBFD"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Alberto</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A955633"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Restrepo</w:t>
            </w:r>
          </w:p>
        </w:tc>
      </w:tr>
      <w:tr w:rsidR="00F1381F" w:rsidRPr="00F1381F" w14:paraId="11850058"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41114C98"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American River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FB442C0"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Brian</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5171B04B" w14:textId="77777777" w:rsidR="00F1381F" w:rsidRPr="00F1381F" w:rsidRDefault="00F1381F" w:rsidP="00F1381F">
            <w:pPr>
              <w:rPr>
                <w:rFonts w:ascii="Calibri" w:eastAsia="Times New Roman" w:hAnsi="Calibri" w:cs="Calibri"/>
                <w:kern w:val="0"/>
                <w:szCs w:val="24"/>
                <w14:ligatures w14:val="none"/>
              </w:rPr>
            </w:pPr>
            <w:proofErr w:type="spellStart"/>
            <w:r w:rsidRPr="00F1381F">
              <w:rPr>
                <w:rFonts w:ascii="Calibri" w:eastAsia="Times New Roman" w:hAnsi="Calibri" w:cs="Calibri"/>
                <w:kern w:val="0"/>
                <w:szCs w:val="24"/>
                <w14:ligatures w14:val="none"/>
              </w:rPr>
              <w:t>Knirk</w:t>
            </w:r>
            <w:proofErr w:type="spellEnd"/>
          </w:p>
        </w:tc>
      </w:tr>
      <w:tr w:rsidR="00F1381F" w:rsidRPr="00F1381F" w14:paraId="1CFD3A74"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66AF44E"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Antelope Valley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02B20FD"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Hal</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519D5CC8"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Huntsman</w:t>
            </w:r>
          </w:p>
        </w:tc>
      </w:tr>
      <w:tr w:rsidR="00F1381F" w:rsidRPr="00F1381F" w14:paraId="40ABFF75"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9B826CB"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Bakersfield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8B50B7E"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Lisa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486C123"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Harding</w:t>
            </w:r>
          </w:p>
        </w:tc>
      </w:tr>
      <w:tr w:rsidR="00F1381F" w:rsidRPr="00F1381F" w14:paraId="4D98C15D"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173F7A2"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Barstow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78EFCA4E"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Melissa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23104FA"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Matteson</w:t>
            </w:r>
          </w:p>
        </w:tc>
      </w:tr>
      <w:tr w:rsidR="00F1381F" w:rsidRPr="00F1381F" w14:paraId="0F2AB74F"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83EDEC1"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Berkeley City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EF48761"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Gabriel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5FA520E"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Martinez</w:t>
            </w:r>
          </w:p>
        </w:tc>
      </w:tr>
      <w:tr w:rsidR="00F1381F" w:rsidRPr="00F1381F" w14:paraId="0F428E4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4C70B77"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Butte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30FD629"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Jess</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197952B"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Vickery</w:t>
            </w:r>
          </w:p>
        </w:tc>
      </w:tr>
      <w:tr w:rsidR="00F1381F" w:rsidRPr="00F1381F" w14:paraId="564DC073"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7582238"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Cabrillo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B256036"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Anna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3E8D55A"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Zagorska</w:t>
            </w:r>
          </w:p>
        </w:tc>
      </w:tr>
      <w:tr w:rsidR="00F1381F" w:rsidRPr="00F1381F" w14:paraId="7D036174"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FDCE50C" w14:textId="77777777" w:rsidR="00F1381F" w:rsidRPr="00F1381F" w:rsidRDefault="00F1381F" w:rsidP="00F1381F">
            <w:pPr>
              <w:rPr>
                <w:rFonts w:ascii="Calibri" w:eastAsia="Times New Roman" w:hAnsi="Calibri" w:cs="Calibri"/>
                <w:kern w:val="0"/>
                <w:szCs w:val="24"/>
                <w14:ligatures w14:val="none"/>
              </w:rPr>
            </w:pPr>
            <w:proofErr w:type="spellStart"/>
            <w:r w:rsidRPr="00F1381F">
              <w:rPr>
                <w:rFonts w:ascii="Calibri" w:eastAsia="Times New Roman" w:hAnsi="Calibri" w:cs="Calibri"/>
                <w:kern w:val="0"/>
                <w:szCs w:val="24"/>
                <w14:ligatures w14:val="none"/>
              </w:rPr>
              <w:t>Calbright</w:t>
            </w:r>
            <w:proofErr w:type="spellEnd"/>
            <w:r w:rsidRPr="00F1381F">
              <w:rPr>
                <w:rFonts w:ascii="Calibri" w:eastAsia="Times New Roman" w:hAnsi="Calibri" w:cs="Calibri"/>
                <w:kern w:val="0"/>
                <w:szCs w:val="24"/>
                <w14:ligatures w14:val="none"/>
              </w:rPr>
              <w:t xml:space="preserve">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84C056E"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Michael</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7792167"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Stewart</w:t>
            </w:r>
          </w:p>
        </w:tc>
      </w:tr>
      <w:tr w:rsidR="00F1381F" w:rsidRPr="00F1381F" w14:paraId="7575A5F8"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5BE94DB"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Canada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7B6156D1"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David</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04C9825"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Eck</w:t>
            </w:r>
          </w:p>
        </w:tc>
      </w:tr>
      <w:tr w:rsidR="00F1381F" w:rsidRPr="00F1381F" w14:paraId="42101910"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D6D15D4"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Canyons, College of</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CEB2DE0"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Lisa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54BA546"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Hooper </w:t>
            </w:r>
          </w:p>
        </w:tc>
      </w:tr>
      <w:tr w:rsidR="00F1381F" w:rsidRPr="00F1381F" w14:paraId="7003EF6E"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E9E6236"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Cerritos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D2AA4EF"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Dennis</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8062D49"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Falcon</w:t>
            </w:r>
          </w:p>
        </w:tc>
      </w:tr>
      <w:tr w:rsidR="00F1381F" w:rsidRPr="00F1381F" w14:paraId="744E97F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2054BB7"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Cerro </w:t>
            </w:r>
            <w:proofErr w:type="spellStart"/>
            <w:r w:rsidRPr="00F1381F">
              <w:rPr>
                <w:rFonts w:ascii="Calibri" w:eastAsia="Times New Roman" w:hAnsi="Calibri" w:cs="Calibri"/>
                <w:kern w:val="0"/>
                <w:szCs w:val="24"/>
                <w14:ligatures w14:val="none"/>
              </w:rPr>
              <w:t>Coso</w:t>
            </w:r>
            <w:proofErr w:type="spellEnd"/>
            <w:r w:rsidRPr="00F1381F">
              <w:rPr>
                <w:rFonts w:ascii="Calibri" w:eastAsia="Times New Roman" w:hAnsi="Calibri" w:cs="Calibri"/>
                <w:kern w:val="0"/>
                <w:szCs w:val="24"/>
                <w14:ligatures w14:val="none"/>
              </w:rPr>
              <w:t xml:space="preserve">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03695F5"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Yvonne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9238FC0"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Mills</w:t>
            </w:r>
          </w:p>
        </w:tc>
      </w:tr>
      <w:tr w:rsidR="00F1381F" w:rsidRPr="00F1381F" w14:paraId="2ADA4A4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629819B"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Chaffey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15DCFE2"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Nicole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6FCC9E7"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DeRose</w:t>
            </w:r>
          </w:p>
        </w:tc>
      </w:tr>
      <w:tr w:rsidR="00F1381F" w:rsidRPr="00F1381F" w14:paraId="74F1477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35F92D2"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Citrus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4902D09"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Jeremy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A1C90F1"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Clark</w:t>
            </w:r>
          </w:p>
        </w:tc>
      </w:tr>
      <w:tr w:rsidR="00F1381F" w:rsidRPr="00F1381F" w14:paraId="207014C0"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74F78DE"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Clovis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EDCD85A"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Teresa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964F0A1"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Mendes</w:t>
            </w:r>
          </w:p>
        </w:tc>
      </w:tr>
      <w:tr w:rsidR="00F1381F" w:rsidRPr="00F1381F" w14:paraId="1C7C5F0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6D8CF70"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Coalinga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69AAC51"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Matt</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6D174D8"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Magnuson</w:t>
            </w:r>
          </w:p>
        </w:tc>
      </w:tr>
      <w:tr w:rsidR="00F1381F" w:rsidRPr="00F1381F" w14:paraId="72FDBD7A"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A558FB7"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Coastline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F773DF6"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Ann</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C910871"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Holliday</w:t>
            </w:r>
          </w:p>
        </w:tc>
      </w:tr>
      <w:tr w:rsidR="00F1381F" w:rsidRPr="00F1381F" w14:paraId="38379E9D"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B5AD6C7"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College of Marin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6EE41AC"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Maria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D5A31DB"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Coulson</w:t>
            </w:r>
          </w:p>
        </w:tc>
      </w:tr>
      <w:tr w:rsidR="00F1381F" w:rsidRPr="00F1381F" w14:paraId="5E88026F"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48CCB0D8"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Columbia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FA93711"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Marcus</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9B276E5"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Whisenant</w:t>
            </w:r>
          </w:p>
        </w:tc>
      </w:tr>
      <w:tr w:rsidR="00F1381F" w:rsidRPr="00F1381F" w14:paraId="26BBDDC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2D254F6"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Compton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7A1225C6"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Sean</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54016EA"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Moore</w:t>
            </w:r>
          </w:p>
        </w:tc>
      </w:tr>
      <w:tr w:rsidR="00F1381F" w:rsidRPr="00F1381F" w14:paraId="6510343F"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03731A6"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Cosumnes River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0785C70"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Jacob</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47EF1D5"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Velasquez</w:t>
            </w:r>
          </w:p>
        </w:tc>
      </w:tr>
      <w:tr w:rsidR="00F1381F" w:rsidRPr="00F1381F" w14:paraId="7B6B72D1"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9B133BF"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lastRenderedPageBreak/>
              <w:t>Contra Costa CCD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E1AFE93"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Chao</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CA54596"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Liu</w:t>
            </w:r>
          </w:p>
        </w:tc>
      </w:tr>
      <w:tr w:rsidR="00F1381F" w:rsidRPr="00F1381F" w14:paraId="6B8B7E4A"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420A845"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Contra Costa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3E45215"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Gabriela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92DC27F"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Segade</w:t>
            </w:r>
          </w:p>
        </w:tc>
      </w:tr>
      <w:tr w:rsidR="00F1381F" w:rsidRPr="00F1381F" w14:paraId="38B004E5"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178DC56"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Copper Mountain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74A9A808"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Jennifer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BA01E1D"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Anderson</w:t>
            </w:r>
          </w:p>
        </w:tc>
      </w:tr>
      <w:tr w:rsidR="00F1381F" w:rsidRPr="00F1381F" w14:paraId="428C192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3B88E2C"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Crafton Hills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A3304AD"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Natalie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24740C2"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Lopez</w:t>
            </w:r>
          </w:p>
        </w:tc>
      </w:tr>
      <w:tr w:rsidR="00F1381F" w:rsidRPr="00F1381F" w14:paraId="0461B55E"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3AD1235"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Cuesta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71A04176"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Alexandra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BFC2D47"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Kahane</w:t>
            </w:r>
          </w:p>
        </w:tc>
      </w:tr>
      <w:tr w:rsidR="00F1381F" w:rsidRPr="00F1381F" w14:paraId="67DA2F1F"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3778FF2"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Cuyamaca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CDA049E"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Manuel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2EFE2BD"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Mancillas-Gomez </w:t>
            </w:r>
          </w:p>
        </w:tc>
      </w:tr>
      <w:tr w:rsidR="00F1381F" w:rsidRPr="00F1381F" w14:paraId="37DEE21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84E9686"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Cypress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9F1597D"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Kathleen</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B02DCD5"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McAlister</w:t>
            </w:r>
          </w:p>
        </w:tc>
      </w:tr>
      <w:tr w:rsidR="00F1381F" w:rsidRPr="00F1381F" w14:paraId="3E6719F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C93AEC4"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De Anza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8A49A6D"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Erik</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DC51FF0"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Woodbury</w:t>
            </w:r>
          </w:p>
        </w:tc>
      </w:tr>
      <w:tr w:rsidR="00F1381F" w:rsidRPr="00F1381F" w14:paraId="4A258FF8"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45B3827"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Desert, College of</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A85DE7A"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Corbyn</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CB4AB89"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Wild</w:t>
            </w:r>
          </w:p>
        </w:tc>
      </w:tr>
      <w:tr w:rsidR="00F1381F" w:rsidRPr="00F1381F" w14:paraId="0FFD88B4"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E10F7D6"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Diablo Valley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C007EF3"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John</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A12D838"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Freytag</w:t>
            </w:r>
          </w:p>
        </w:tc>
      </w:tr>
      <w:tr w:rsidR="00F1381F" w:rsidRPr="00F1381F" w14:paraId="50C44B1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C722940"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East Los Angeles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2A53726"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Leticia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7415770"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Barajas</w:t>
            </w:r>
          </w:p>
        </w:tc>
      </w:tr>
      <w:tr w:rsidR="00F1381F" w:rsidRPr="00F1381F" w14:paraId="516420B3"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5817E4F"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Evergreen Valley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3D76515"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Henry</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94D9BF1"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Estrada</w:t>
            </w:r>
          </w:p>
        </w:tc>
      </w:tr>
      <w:tr w:rsidR="00F1381F" w:rsidRPr="00F1381F" w14:paraId="43FCD7B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9475D0E"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Folsom Lake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1C99664"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Wayne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D9B258F"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Jensen</w:t>
            </w:r>
          </w:p>
        </w:tc>
      </w:tr>
      <w:tr w:rsidR="00F1381F" w:rsidRPr="00F1381F" w14:paraId="6FBBE501"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5ED19A4"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Foothill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3FD9A53"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Voltaire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3160B4A"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Villanueva</w:t>
            </w:r>
          </w:p>
        </w:tc>
      </w:tr>
      <w:tr w:rsidR="00F1381F" w:rsidRPr="00F1381F" w14:paraId="5C448FDB"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64D5060"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Foothill DeAnza CCD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F1133D7"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Patricia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1FE8517"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Guitron</w:t>
            </w:r>
          </w:p>
        </w:tc>
      </w:tr>
      <w:tr w:rsidR="00F1381F" w:rsidRPr="00F1381F" w14:paraId="630202D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4D4FAFDB"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Fresno City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51A4299"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Jackie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5B79997C"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Williams</w:t>
            </w:r>
          </w:p>
        </w:tc>
      </w:tr>
      <w:tr w:rsidR="00F1381F" w:rsidRPr="00F1381F" w14:paraId="1D9E08D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F33AEF2"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Fullerton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CCB66A2"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Jeanette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22D4433"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Rodriguez</w:t>
            </w:r>
          </w:p>
        </w:tc>
      </w:tr>
      <w:tr w:rsidR="00F1381F" w:rsidRPr="00F1381F" w14:paraId="25DE2974"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2C69978"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Gavilan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7FA6E42"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Cherise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D648F66"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Mantia</w:t>
            </w:r>
          </w:p>
        </w:tc>
      </w:tr>
      <w:tr w:rsidR="00F1381F" w:rsidRPr="00F1381F" w14:paraId="4E8EE4F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6E9021C"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Glendale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402C423"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Cameron</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92B55FF"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Hastings</w:t>
            </w:r>
          </w:p>
        </w:tc>
      </w:tr>
      <w:tr w:rsidR="00F1381F" w:rsidRPr="00F1381F" w14:paraId="4F830AAD"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AF29C97"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Golden West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86E23ED"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Damien</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464F11F"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Jordan</w:t>
            </w:r>
          </w:p>
        </w:tc>
      </w:tr>
      <w:tr w:rsidR="00F1381F" w:rsidRPr="00F1381F" w14:paraId="468569A8"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13D7592"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Grossmont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DD4635D"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Sharon</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7F4D468"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Sampson</w:t>
            </w:r>
          </w:p>
        </w:tc>
      </w:tr>
      <w:tr w:rsidR="00F1381F" w:rsidRPr="00F1381F" w14:paraId="1E9CC86F"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7331DA3"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Hartnell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F04B441"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Kelly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2840ABE"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Locke </w:t>
            </w:r>
          </w:p>
        </w:tc>
      </w:tr>
      <w:tr w:rsidR="00F1381F" w:rsidRPr="00F1381F" w14:paraId="6AFE1C9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FC200A5"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Imperial Valley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09FC53B"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Ric</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C5E5C0D"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Epps</w:t>
            </w:r>
          </w:p>
        </w:tc>
      </w:tr>
      <w:tr w:rsidR="00F1381F" w:rsidRPr="00F1381F" w14:paraId="628F0984"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19C8E39"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Irvine Valley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E08FCCB"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Rebecca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9D6DAA7"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Beck</w:t>
            </w:r>
          </w:p>
        </w:tc>
      </w:tr>
      <w:tr w:rsidR="00F1381F" w:rsidRPr="00F1381F" w14:paraId="4D6FC48D"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46CE66B"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Laney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0D06C12"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Leslie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56CE8FCE"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Blackie</w:t>
            </w:r>
          </w:p>
        </w:tc>
      </w:tr>
      <w:tr w:rsidR="00F1381F" w:rsidRPr="00F1381F" w14:paraId="5BE54F77"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3D43E0C"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lastRenderedPageBreak/>
              <w:t>Las Positas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05D309F"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Ashley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21F0A91"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Young</w:t>
            </w:r>
          </w:p>
        </w:tc>
      </w:tr>
      <w:tr w:rsidR="00F1381F" w:rsidRPr="00F1381F" w14:paraId="711D125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7266C90"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Lassen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81F8C1A"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Adam</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D4EBFB4"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Runyan</w:t>
            </w:r>
          </w:p>
        </w:tc>
      </w:tr>
      <w:tr w:rsidR="00F1381F" w:rsidRPr="00F1381F" w14:paraId="2E32D91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355650E"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Lemoore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7E128EA4"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Jacqui</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8F73181"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Shehorn</w:t>
            </w:r>
          </w:p>
        </w:tc>
      </w:tr>
      <w:tr w:rsidR="00F1381F" w:rsidRPr="00F1381F" w14:paraId="15776C0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FBEF5CF"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Long Beach City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BE8F7B8"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Christine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3740884"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Charles-Bohannon</w:t>
            </w:r>
          </w:p>
        </w:tc>
      </w:tr>
      <w:tr w:rsidR="00F1381F" w:rsidRPr="00F1381F" w14:paraId="1ECE7CF0"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178D5C3"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Los Angeles CCD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3AD65AB"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Angela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E222412"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Echeverri</w:t>
            </w:r>
          </w:p>
        </w:tc>
      </w:tr>
      <w:tr w:rsidR="00F1381F" w:rsidRPr="00F1381F" w14:paraId="7EFE575A"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29BD814"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Los Angeles City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FBD6FC0"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Anna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174F597"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Le </w:t>
            </w:r>
          </w:p>
        </w:tc>
      </w:tr>
      <w:tr w:rsidR="00F1381F" w:rsidRPr="00F1381F" w14:paraId="6708DFFA"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E6A0C0F"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Los Angeles Mission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55D8446"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Maryanne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FA84FC4"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Galindo </w:t>
            </w:r>
          </w:p>
        </w:tc>
      </w:tr>
      <w:tr w:rsidR="00F1381F" w:rsidRPr="00F1381F" w14:paraId="394DFE45"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A85687D"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Los Angeles Pierce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B06681D"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Margarita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FD4FF2B"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Pillado</w:t>
            </w:r>
          </w:p>
        </w:tc>
      </w:tr>
      <w:tr w:rsidR="00F1381F" w:rsidRPr="00F1381F" w14:paraId="5437085A"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0207B41"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Los Angeles Southwest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79252C73"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Erum</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2272EB1"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Syed</w:t>
            </w:r>
          </w:p>
        </w:tc>
      </w:tr>
      <w:tr w:rsidR="00F1381F" w:rsidRPr="00F1381F" w14:paraId="7E1B1231"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E484C8B"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Los Angeles Trade Tech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6AD6743"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Marvin</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55F24FF"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Da Costa</w:t>
            </w:r>
          </w:p>
        </w:tc>
      </w:tr>
      <w:tr w:rsidR="00F1381F" w:rsidRPr="00F1381F" w14:paraId="47AC99EB"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F95CD8C"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Los Angeles Valley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0FB557D"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Edgar</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50B9054"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Perez</w:t>
            </w:r>
          </w:p>
        </w:tc>
      </w:tr>
      <w:tr w:rsidR="00F1381F" w:rsidRPr="00F1381F" w14:paraId="1E5261C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43999713"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Los </w:t>
            </w:r>
            <w:proofErr w:type="spellStart"/>
            <w:r w:rsidRPr="00F1381F">
              <w:rPr>
                <w:rFonts w:ascii="Calibri" w:eastAsia="Times New Roman" w:hAnsi="Calibri" w:cs="Calibri"/>
                <w:kern w:val="0"/>
                <w:szCs w:val="24"/>
                <w14:ligatures w14:val="none"/>
              </w:rPr>
              <w:t>Medanos</w:t>
            </w:r>
            <w:proofErr w:type="spellEnd"/>
            <w:r w:rsidRPr="00F1381F">
              <w:rPr>
                <w:rFonts w:ascii="Calibri" w:eastAsia="Times New Roman" w:hAnsi="Calibri" w:cs="Calibri"/>
                <w:kern w:val="0"/>
                <w:szCs w:val="24"/>
                <w14:ligatures w14:val="none"/>
              </w:rPr>
              <w:t xml:space="preserve">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76459169"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Adrianna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5E85D5B"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Simone</w:t>
            </w:r>
          </w:p>
        </w:tc>
      </w:tr>
      <w:tr w:rsidR="00F1381F" w:rsidRPr="00F1381F" w14:paraId="5D17DEB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97DAA1E"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Los Rios CCD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4F41BC9"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Alisa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3DAD485" w14:textId="77777777" w:rsidR="00F1381F" w:rsidRPr="00F1381F" w:rsidRDefault="00F1381F" w:rsidP="00F1381F">
            <w:pPr>
              <w:rPr>
                <w:rFonts w:ascii="Calibri" w:eastAsia="Times New Roman" w:hAnsi="Calibri" w:cs="Calibri"/>
                <w:kern w:val="0"/>
                <w:szCs w:val="24"/>
                <w14:ligatures w14:val="none"/>
              </w:rPr>
            </w:pPr>
            <w:proofErr w:type="spellStart"/>
            <w:r w:rsidRPr="00F1381F">
              <w:rPr>
                <w:rFonts w:ascii="Calibri" w:eastAsia="Times New Roman" w:hAnsi="Calibri" w:cs="Calibri"/>
                <w:kern w:val="0"/>
                <w:szCs w:val="24"/>
                <w14:ligatures w14:val="none"/>
              </w:rPr>
              <w:t>Shubb</w:t>
            </w:r>
            <w:proofErr w:type="spellEnd"/>
          </w:p>
        </w:tc>
      </w:tr>
      <w:tr w:rsidR="00F1381F" w:rsidRPr="00F1381F" w14:paraId="78B996CF"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7C8CC21"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Madera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D4BF529"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Erin</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6092ABF"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Heasley</w:t>
            </w:r>
          </w:p>
        </w:tc>
      </w:tr>
      <w:tr w:rsidR="00F1381F" w:rsidRPr="00F1381F" w14:paraId="4931B8B8"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2DB7099"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Mendocino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77B588D"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Nicholas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200F132"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Petti</w:t>
            </w:r>
          </w:p>
        </w:tc>
      </w:tr>
      <w:tr w:rsidR="00F1381F" w:rsidRPr="00F1381F" w14:paraId="60827883"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3885578"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Merced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7043A246"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Wanda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DB554C8"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Schindler</w:t>
            </w:r>
          </w:p>
        </w:tc>
      </w:tr>
      <w:tr w:rsidR="00F1381F" w:rsidRPr="00F1381F" w14:paraId="1774471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8561D2C"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Merritt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AA9E3D1"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Tom</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295CA08"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Renbarger </w:t>
            </w:r>
          </w:p>
        </w:tc>
      </w:tr>
      <w:tr w:rsidR="00F1381F" w:rsidRPr="00F1381F" w14:paraId="0BF48770"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2D8CB78" w14:textId="77777777" w:rsidR="00F1381F" w:rsidRPr="00F1381F" w:rsidRDefault="00F1381F" w:rsidP="00F1381F">
            <w:pPr>
              <w:rPr>
                <w:rFonts w:ascii="Calibri" w:eastAsia="Times New Roman" w:hAnsi="Calibri" w:cs="Calibri"/>
                <w:kern w:val="0"/>
                <w:szCs w:val="24"/>
                <w14:ligatures w14:val="none"/>
              </w:rPr>
            </w:pPr>
            <w:proofErr w:type="spellStart"/>
            <w:r w:rsidRPr="00F1381F">
              <w:rPr>
                <w:rFonts w:ascii="Calibri" w:eastAsia="Times New Roman" w:hAnsi="Calibri" w:cs="Calibri"/>
                <w:kern w:val="0"/>
                <w:szCs w:val="24"/>
                <w14:ligatures w14:val="none"/>
              </w:rPr>
              <w:t>MiraCosta</w:t>
            </w:r>
            <w:proofErr w:type="spellEnd"/>
            <w:r w:rsidRPr="00F1381F">
              <w:rPr>
                <w:rFonts w:ascii="Calibri" w:eastAsia="Times New Roman" w:hAnsi="Calibri" w:cs="Calibri"/>
                <w:kern w:val="0"/>
                <w:szCs w:val="24"/>
                <w14:ligatures w14:val="none"/>
              </w:rPr>
              <w:t xml:space="preserve">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202B3AE"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Leila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CB3E212" w14:textId="77777777" w:rsidR="00F1381F" w:rsidRPr="00F1381F" w:rsidRDefault="00F1381F" w:rsidP="00F1381F">
            <w:pPr>
              <w:rPr>
                <w:rFonts w:ascii="Calibri" w:eastAsia="Times New Roman" w:hAnsi="Calibri" w:cs="Calibri"/>
                <w:kern w:val="0"/>
                <w:szCs w:val="24"/>
                <w14:ligatures w14:val="none"/>
              </w:rPr>
            </w:pPr>
            <w:proofErr w:type="spellStart"/>
            <w:r w:rsidRPr="00F1381F">
              <w:rPr>
                <w:rFonts w:ascii="Calibri" w:eastAsia="Times New Roman" w:hAnsi="Calibri" w:cs="Calibri"/>
                <w:kern w:val="0"/>
                <w:szCs w:val="24"/>
                <w14:ligatures w14:val="none"/>
              </w:rPr>
              <w:t>Safaralian</w:t>
            </w:r>
            <w:proofErr w:type="spellEnd"/>
          </w:p>
        </w:tc>
      </w:tr>
      <w:tr w:rsidR="00F1381F" w:rsidRPr="00F1381F" w14:paraId="3525B79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EFC7E52"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Mission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7786F730"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Joanna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FC5DFC1" w14:textId="77777777" w:rsidR="00F1381F" w:rsidRPr="00F1381F" w:rsidRDefault="00F1381F" w:rsidP="00F1381F">
            <w:pPr>
              <w:rPr>
                <w:rFonts w:ascii="Calibri" w:eastAsia="Times New Roman" w:hAnsi="Calibri" w:cs="Calibri"/>
                <w:kern w:val="0"/>
                <w:szCs w:val="24"/>
                <w14:ligatures w14:val="none"/>
              </w:rPr>
            </w:pPr>
            <w:proofErr w:type="spellStart"/>
            <w:r w:rsidRPr="00F1381F">
              <w:rPr>
                <w:rFonts w:ascii="Calibri" w:eastAsia="Times New Roman" w:hAnsi="Calibri" w:cs="Calibri"/>
                <w:kern w:val="0"/>
                <w:szCs w:val="24"/>
                <w14:ligatures w14:val="none"/>
              </w:rPr>
              <w:t>Sobala</w:t>
            </w:r>
            <w:proofErr w:type="spellEnd"/>
          </w:p>
        </w:tc>
      </w:tr>
      <w:tr w:rsidR="00F1381F" w:rsidRPr="00F1381F" w14:paraId="2EC4734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3002852"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Modesto Junior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81781D2"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Gisele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8DC1953"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Flores </w:t>
            </w:r>
          </w:p>
        </w:tc>
      </w:tr>
      <w:tr w:rsidR="00F1381F" w:rsidRPr="00F1381F" w14:paraId="0A7AAB79"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4188050C"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Monterey Peninsula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A36806B"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Frank</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7E9414B"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Rivera</w:t>
            </w:r>
          </w:p>
        </w:tc>
      </w:tr>
      <w:tr w:rsidR="00F1381F" w:rsidRPr="00F1381F" w14:paraId="30756F3A"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F10F08A"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Moorpark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7E89EB8"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Matthew</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21DE8B6"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Morgan </w:t>
            </w:r>
          </w:p>
        </w:tc>
      </w:tr>
      <w:tr w:rsidR="00F1381F" w:rsidRPr="00F1381F" w14:paraId="61135B8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438C722"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Moreno Valley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13C2CA2"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Felipe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C890F0D"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Galicia</w:t>
            </w:r>
          </w:p>
        </w:tc>
      </w:tr>
      <w:tr w:rsidR="00F1381F" w:rsidRPr="00F1381F" w14:paraId="01F7EFE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EAA78BF"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Mt. San Antonio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CE70E28"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Kelly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716D50C"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Rivera</w:t>
            </w:r>
          </w:p>
        </w:tc>
      </w:tr>
      <w:tr w:rsidR="00F1381F" w:rsidRPr="00F1381F" w14:paraId="44A488E0"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FBB096C"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Mt. San Jacinto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56536EC"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Michelle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6F8DF89"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Vogel </w:t>
            </w:r>
            <w:proofErr w:type="spellStart"/>
            <w:r w:rsidRPr="00F1381F">
              <w:rPr>
                <w:rFonts w:ascii="Calibri" w:eastAsia="Times New Roman" w:hAnsi="Calibri" w:cs="Calibri"/>
                <w:kern w:val="0"/>
                <w:szCs w:val="24"/>
                <w14:ligatures w14:val="none"/>
              </w:rPr>
              <w:t>Trautt</w:t>
            </w:r>
            <w:proofErr w:type="spellEnd"/>
          </w:p>
        </w:tc>
      </w:tr>
      <w:tr w:rsidR="00F1381F" w:rsidRPr="00F1381F" w14:paraId="5BEE7498"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723C7D2"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lastRenderedPageBreak/>
              <w:t>Napa Valley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2B5CA50"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Matthew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31F1ED5"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Kronzer </w:t>
            </w:r>
          </w:p>
        </w:tc>
      </w:tr>
      <w:tr w:rsidR="00F1381F" w:rsidRPr="00F1381F" w14:paraId="567D4FDA"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5FBD34B"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Norco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8E5E08E"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Kimberly</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5E4682C"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Bell</w:t>
            </w:r>
          </w:p>
        </w:tc>
      </w:tr>
      <w:tr w:rsidR="00F1381F" w:rsidRPr="00F1381F" w14:paraId="2AB80FA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06D3F61"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North Orange Continuing Education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A253645"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Jennifer</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09FBA3A"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Oo</w:t>
            </w:r>
          </w:p>
        </w:tc>
      </w:tr>
      <w:tr w:rsidR="00F1381F" w:rsidRPr="00F1381F" w14:paraId="68B0BF9B"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23D1F34"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Ohlone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DE30E2B"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Kyle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AA36042"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Livie</w:t>
            </w:r>
          </w:p>
        </w:tc>
      </w:tr>
      <w:tr w:rsidR="00F1381F" w:rsidRPr="00F1381F" w14:paraId="16984927"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FB3926B"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Orange Coast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7050F68"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Rendell</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82CB7E9"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Drew</w:t>
            </w:r>
          </w:p>
        </w:tc>
      </w:tr>
      <w:tr w:rsidR="00F1381F" w:rsidRPr="00F1381F" w14:paraId="78BD4D45"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B3B1909"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Oxnard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53C4D21"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Dolores</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567C355"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Ortiz</w:t>
            </w:r>
          </w:p>
        </w:tc>
      </w:tr>
      <w:tr w:rsidR="00F1381F" w:rsidRPr="00F1381F" w14:paraId="755A0D07"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14A5584"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Palo Verde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BBF6FC2"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Sarah</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A2F5845"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Frid</w:t>
            </w:r>
          </w:p>
        </w:tc>
      </w:tr>
      <w:tr w:rsidR="00F1381F" w:rsidRPr="00F1381F" w14:paraId="4138EA9F"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AB2CE11"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Palomar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89813DA"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Wendy</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5D3E7C71"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Nelson</w:t>
            </w:r>
          </w:p>
        </w:tc>
      </w:tr>
      <w:tr w:rsidR="00F1381F" w:rsidRPr="00F1381F" w14:paraId="2E15D1D9"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F8D9AFF"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Pasadena City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67FFC2F"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Lindsey</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6FA5EDA"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Ruiz</w:t>
            </w:r>
          </w:p>
        </w:tc>
      </w:tr>
      <w:tr w:rsidR="00F1381F" w:rsidRPr="00F1381F" w14:paraId="1EE9595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62046F4"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Peralta CCD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F4EBF4D"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Matthew</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B0DE3CF"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Goldstein</w:t>
            </w:r>
          </w:p>
        </w:tc>
      </w:tr>
      <w:tr w:rsidR="00F1381F" w:rsidRPr="00F1381F" w14:paraId="185976F9"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915099C"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Porterville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71EAFEA"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Rebecca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F4F82CB"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Baird</w:t>
            </w:r>
          </w:p>
        </w:tc>
      </w:tr>
      <w:tr w:rsidR="00F1381F" w:rsidRPr="00F1381F" w14:paraId="573A12B9"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B35DE0A"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Rancho Santiago CCD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C93E639"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Tara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0F3E236"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Kubicka-Miller</w:t>
            </w:r>
          </w:p>
        </w:tc>
      </w:tr>
      <w:tr w:rsidR="00F1381F" w:rsidRPr="00F1381F" w14:paraId="5565570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9ED2CA1"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Redwoods, College of the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AD60C22"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Deanna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09C408F"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Herrera</w:t>
            </w:r>
          </w:p>
        </w:tc>
      </w:tr>
      <w:tr w:rsidR="00F1381F" w:rsidRPr="00F1381F" w14:paraId="2516C36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BC7D63F"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Reedley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C7305A8"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Andrew</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53ACBE8B" w14:textId="77777777" w:rsidR="00F1381F" w:rsidRPr="00F1381F" w:rsidRDefault="00F1381F" w:rsidP="00F1381F">
            <w:pPr>
              <w:rPr>
                <w:rFonts w:ascii="Calibri" w:eastAsia="Times New Roman" w:hAnsi="Calibri" w:cs="Calibri"/>
                <w:kern w:val="0"/>
                <w:szCs w:val="24"/>
                <w14:ligatures w14:val="none"/>
              </w:rPr>
            </w:pPr>
            <w:proofErr w:type="spellStart"/>
            <w:r w:rsidRPr="00F1381F">
              <w:rPr>
                <w:rFonts w:ascii="Calibri" w:eastAsia="Times New Roman" w:hAnsi="Calibri" w:cs="Calibri"/>
                <w:kern w:val="0"/>
                <w:szCs w:val="24"/>
                <w14:ligatures w14:val="none"/>
              </w:rPr>
              <w:t>Strankman</w:t>
            </w:r>
            <w:proofErr w:type="spellEnd"/>
          </w:p>
        </w:tc>
      </w:tr>
      <w:tr w:rsidR="00F1381F" w:rsidRPr="00F1381F" w14:paraId="047AFBD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552DEEB"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Rio Hondo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73EC66D"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Farrah</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E4EEA30"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Nakatani</w:t>
            </w:r>
          </w:p>
        </w:tc>
      </w:tr>
      <w:tr w:rsidR="00F1381F" w:rsidRPr="00F1381F" w14:paraId="371DB1B0"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D1B6C98"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Riverside City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0220419"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Jo</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5403F6BE"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Scott-Coe</w:t>
            </w:r>
          </w:p>
        </w:tc>
      </w:tr>
      <w:tr w:rsidR="00F1381F" w:rsidRPr="00F1381F" w14:paraId="1CC3DF2F"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9367E8A"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Sacramento City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AA12032"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Amy</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25CCA25"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Strimling</w:t>
            </w:r>
          </w:p>
        </w:tc>
      </w:tr>
      <w:tr w:rsidR="00F1381F" w:rsidRPr="00F1381F" w14:paraId="70C45743"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155DD93"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Saddleback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76221F86"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Femia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62050B1"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Scarfone</w:t>
            </w:r>
          </w:p>
        </w:tc>
      </w:tr>
      <w:tr w:rsidR="00F1381F" w:rsidRPr="00F1381F" w14:paraId="7447DD5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75491B0"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 Bernardino Valley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265D997"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Davena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585948BA"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Burns-Peter</w:t>
            </w:r>
          </w:p>
        </w:tc>
      </w:tr>
      <w:tr w:rsidR="00F1381F" w:rsidRPr="00F1381F" w14:paraId="4E67267F"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40411CE"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 Diego City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B2BB739"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Mona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720BFB4" w14:textId="77777777" w:rsidR="00F1381F" w:rsidRPr="00F1381F" w:rsidRDefault="00F1381F" w:rsidP="00F1381F">
            <w:pPr>
              <w:rPr>
                <w:rFonts w:ascii="Calibri" w:eastAsia="Times New Roman" w:hAnsi="Calibri" w:cs="Calibri"/>
                <w:kern w:val="0"/>
                <w:szCs w:val="24"/>
                <w14:ligatures w14:val="none"/>
              </w:rPr>
            </w:pPr>
            <w:proofErr w:type="spellStart"/>
            <w:r w:rsidRPr="00F1381F">
              <w:rPr>
                <w:rFonts w:ascii="Calibri" w:eastAsia="Times New Roman" w:hAnsi="Calibri" w:cs="Calibri"/>
                <w:kern w:val="0"/>
                <w:szCs w:val="24"/>
                <w14:ligatures w14:val="none"/>
              </w:rPr>
              <w:t>Alsoraimi</w:t>
            </w:r>
            <w:proofErr w:type="spellEnd"/>
            <w:r w:rsidRPr="00F1381F">
              <w:rPr>
                <w:rFonts w:ascii="Calibri" w:eastAsia="Times New Roman" w:hAnsi="Calibri" w:cs="Calibri"/>
                <w:kern w:val="0"/>
                <w:szCs w:val="24"/>
                <w14:ligatures w14:val="none"/>
              </w:rPr>
              <w:t>-Espiritu</w:t>
            </w:r>
          </w:p>
        </w:tc>
      </w:tr>
      <w:tr w:rsidR="00F1381F" w:rsidRPr="00F1381F" w14:paraId="2658A661"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63CA243"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 Diego Continuing Ed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F29D329"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Richard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296982C"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Weinroth</w:t>
            </w:r>
          </w:p>
        </w:tc>
      </w:tr>
      <w:tr w:rsidR="00F1381F" w:rsidRPr="00F1381F" w14:paraId="560425F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1F39B46"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 Diego Mesa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998A392"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Andrew</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FC7FB65"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Hoffman</w:t>
            </w:r>
          </w:p>
        </w:tc>
      </w:tr>
      <w:tr w:rsidR="00F1381F" w:rsidRPr="00F1381F" w14:paraId="11C42F4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8321BA5"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 Diego Miramar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55B86BF"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Pablo</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34D2654"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Martin</w:t>
            </w:r>
          </w:p>
        </w:tc>
      </w:tr>
      <w:tr w:rsidR="00F1381F" w:rsidRPr="00F1381F" w14:paraId="6338BAD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E5734BA"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 Francisco, City College of</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28E8D4C"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Sheri</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1CF92A0"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Miraglia</w:t>
            </w:r>
          </w:p>
        </w:tc>
      </w:tr>
      <w:tr w:rsidR="00F1381F" w:rsidRPr="00F1381F" w14:paraId="40C5564B"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263FB0F"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lastRenderedPageBreak/>
              <w:t>San Joaquin Delta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0A33017"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Becky</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F789A54"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Plaza</w:t>
            </w:r>
          </w:p>
        </w:tc>
      </w:tr>
      <w:tr w:rsidR="00F1381F" w:rsidRPr="00F1381F" w14:paraId="41C4C595"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D8C438D"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 Jose City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9085CED"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Heidi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0E1CEBC"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Kozlowski</w:t>
            </w:r>
          </w:p>
        </w:tc>
      </w:tr>
      <w:tr w:rsidR="00F1381F" w:rsidRPr="00F1381F" w14:paraId="1960E235"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4DCC351"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 Jose-Evergreen CCD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43DBA45"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Eric</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F1F9341"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Narveson </w:t>
            </w:r>
          </w:p>
        </w:tc>
      </w:tr>
      <w:tr w:rsidR="00F1381F" w:rsidRPr="00F1381F" w14:paraId="04878D4B"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4D2CA92"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 Mateo CCD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5B2092D"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Lindsey</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A16B76C"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Ayotte</w:t>
            </w:r>
          </w:p>
        </w:tc>
      </w:tr>
      <w:tr w:rsidR="00F1381F" w:rsidRPr="00F1381F" w14:paraId="5C424198"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F442EAA"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San Mateo, College of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5BF2758"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Tod</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15530EA"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Windisch</w:t>
            </w:r>
          </w:p>
        </w:tc>
      </w:tr>
      <w:tr w:rsidR="00F1381F" w:rsidRPr="00F1381F" w14:paraId="0AF24583"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4DB5415"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Santa Ana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D35B11A"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Alejandro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FD7F582"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Moreno</w:t>
            </w:r>
          </w:p>
        </w:tc>
      </w:tr>
      <w:tr w:rsidR="00F1381F" w:rsidRPr="00F1381F" w14:paraId="3A937D08"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B61586F"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Santa Barbara City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08A4363"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Kathy</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347F51F"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O'Connor</w:t>
            </w:r>
          </w:p>
        </w:tc>
      </w:tr>
      <w:tr w:rsidR="00F1381F" w:rsidRPr="00F1381F" w14:paraId="3BC7DBC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47305C6B"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Santa Monica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5565DC6"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Jamar</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D5833CB"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London</w:t>
            </w:r>
          </w:p>
        </w:tc>
      </w:tr>
      <w:tr w:rsidR="00F1381F" w:rsidRPr="00F1381F" w14:paraId="07ABD737"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D47EE0F"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Santa Rosa Junior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B84A431"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Nancy</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A9BD7A0"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Persons</w:t>
            </w:r>
          </w:p>
        </w:tc>
      </w:tr>
      <w:tr w:rsidR="00F1381F" w:rsidRPr="00F1381F" w14:paraId="5E0D1761"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66C1466"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Santiago Canyon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B576877"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Craig</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34F8E26"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Rutan</w:t>
            </w:r>
          </w:p>
        </w:tc>
      </w:tr>
      <w:tr w:rsidR="00F1381F" w:rsidRPr="00F1381F" w14:paraId="24A2E7DB"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746BA55"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Sequoias, College of the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F671D68"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Ramyar Alavi</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1DFE00C"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Moghaddam</w:t>
            </w:r>
          </w:p>
        </w:tc>
      </w:tr>
      <w:tr w:rsidR="00F1381F" w:rsidRPr="00F1381F" w14:paraId="4C562AE4"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8A57894"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Shasta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F0F8C33"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Jacquelyn</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282507A"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Horton</w:t>
            </w:r>
          </w:p>
        </w:tc>
      </w:tr>
      <w:tr w:rsidR="00F1381F" w:rsidRPr="00F1381F" w14:paraId="4F902661"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0B84D1D"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Sierra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97314AB"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Andre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EECDABC"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Mendoza</w:t>
            </w:r>
          </w:p>
        </w:tc>
      </w:tr>
      <w:tr w:rsidR="00F1381F" w:rsidRPr="00F1381F" w14:paraId="56A0D5D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81D2709"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Siskiyous, College of the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16F6F44"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Andrea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B0C6C3A"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Craddock</w:t>
            </w:r>
          </w:p>
        </w:tc>
      </w:tr>
      <w:tr w:rsidR="00F1381F" w:rsidRPr="00F1381F" w14:paraId="60E43C7F"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337B0BA"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Skyline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A83CECD"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Cassidy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DA1526E"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Ryan</w:t>
            </w:r>
          </w:p>
        </w:tc>
      </w:tr>
      <w:tr w:rsidR="00F1381F" w:rsidRPr="00F1381F" w14:paraId="0CB896C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EF1BBC4"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Solano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ABD09B3"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Joshua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129D40C"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Scott</w:t>
            </w:r>
          </w:p>
        </w:tc>
      </w:tr>
      <w:tr w:rsidR="00F1381F" w:rsidRPr="00F1381F" w14:paraId="42B7E2C4"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07DB9B2"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Taft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249B43D"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Candace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0944215"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Duron </w:t>
            </w:r>
          </w:p>
        </w:tc>
      </w:tr>
      <w:tr w:rsidR="00F1381F" w:rsidRPr="00F1381F" w14:paraId="708758EF"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3834974"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Ventura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7EA5AF38"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Rachel</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53FED82"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Johnson</w:t>
            </w:r>
          </w:p>
        </w:tc>
      </w:tr>
      <w:tr w:rsidR="00F1381F" w:rsidRPr="00F1381F" w14:paraId="11A0C38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36BB852"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West Los Angeles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68AE00E"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Patricia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8C250C1"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Zuk</w:t>
            </w:r>
          </w:p>
        </w:tc>
      </w:tr>
      <w:tr w:rsidR="00F1381F" w:rsidRPr="00F1381F" w14:paraId="74A93220"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F79A320"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West Valley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873EC59"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Meg</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23EF77C"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Farrell</w:t>
            </w:r>
          </w:p>
        </w:tc>
      </w:tr>
      <w:tr w:rsidR="00F1381F" w:rsidRPr="00F1381F" w14:paraId="2ED91AB5"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9F4ECFD"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Woodland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4346705"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Matt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9612519"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Clark </w:t>
            </w:r>
          </w:p>
        </w:tc>
      </w:tr>
      <w:tr w:rsidR="00F1381F" w:rsidRPr="00F1381F" w14:paraId="52BFCF0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9E25770"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Yuba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B413AAE"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Meridith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074FAA0" w14:textId="77777777" w:rsidR="00F1381F" w:rsidRPr="00F1381F" w:rsidRDefault="00F1381F" w:rsidP="00F1381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Selden</w:t>
            </w:r>
          </w:p>
        </w:tc>
      </w:tr>
    </w:tbl>
    <w:p w14:paraId="607B62D6" w14:textId="77777777" w:rsidR="00E01AB3" w:rsidRDefault="00E01AB3" w:rsidP="00E01AB3"/>
    <w:p w14:paraId="6BFC9526" w14:textId="77777777" w:rsidR="00E01AB3" w:rsidRDefault="00E01AB3" w:rsidP="00E01AB3"/>
    <w:p w14:paraId="7D97E90A" w14:textId="77777777" w:rsidR="0060573A" w:rsidRDefault="0060573A" w:rsidP="00E01AB3"/>
    <w:p w14:paraId="2D45FD91" w14:textId="77777777" w:rsidR="0060573A" w:rsidRDefault="0060573A" w:rsidP="00E01AB3"/>
    <w:tbl>
      <w:tblPr>
        <w:tblStyle w:val="TableGrid"/>
        <w:tblW w:w="0" w:type="auto"/>
        <w:tblLook w:val="04A0" w:firstRow="1" w:lastRow="0" w:firstColumn="1" w:lastColumn="0" w:noHBand="0" w:noVBand="1"/>
      </w:tblPr>
      <w:tblGrid>
        <w:gridCol w:w="3116"/>
        <w:gridCol w:w="3117"/>
        <w:gridCol w:w="3117"/>
      </w:tblGrid>
      <w:tr w:rsidR="00E01AB3" w14:paraId="51F9E2DD" w14:textId="77777777" w:rsidTr="001D35C2">
        <w:tc>
          <w:tcPr>
            <w:tcW w:w="3116" w:type="dxa"/>
            <w:shd w:val="clear" w:color="auto" w:fill="BFBFBF" w:themeFill="background1" w:themeFillShade="BF"/>
          </w:tcPr>
          <w:p w14:paraId="53F2CEBC" w14:textId="77777777" w:rsidR="00E01AB3" w:rsidRPr="003A539F" w:rsidRDefault="00E01AB3" w:rsidP="001D35C2">
            <w:pPr>
              <w:rPr>
                <w:b/>
                <w:bCs/>
              </w:rPr>
            </w:pPr>
            <w:r w:rsidRPr="003A539F">
              <w:rPr>
                <w:b/>
                <w:bCs/>
              </w:rPr>
              <w:lastRenderedPageBreak/>
              <w:t>Executive Committee Member</w:t>
            </w:r>
          </w:p>
        </w:tc>
        <w:tc>
          <w:tcPr>
            <w:tcW w:w="3117" w:type="dxa"/>
            <w:shd w:val="clear" w:color="auto" w:fill="BFBFBF" w:themeFill="background1" w:themeFillShade="BF"/>
          </w:tcPr>
          <w:p w14:paraId="24F1ECEC" w14:textId="77777777" w:rsidR="00E01AB3" w:rsidRDefault="00E01AB3" w:rsidP="001D35C2">
            <w:r w:rsidRPr="0086469D">
              <w:rPr>
                <w:b/>
                <w:bCs/>
              </w:rPr>
              <w:t>First Name</w:t>
            </w:r>
          </w:p>
        </w:tc>
        <w:tc>
          <w:tcPr>
            <w:tcW w:w="3117" w:type="dxa"/>
            <w:shd w:val="clear" w:color="auto" w:fill="BFBFBF" w:themeFill="background1" w:themeFillShade="BF"/>
          </w:tcPr>
          <w:p w14:paraId="701ADF6A" w14:textId="77777777" w:rsidR="00E01AB3" w:rsidRDefault="00E01AB3" w:rsidP="001D35C2">
            <w:r w:rsidRPr="0086469D">
              <w:rPr>
                <w:b/>
                <w:bCs/>
              </w:rPr>
              <w:t>Last Name</w:t>
            </w:r>
          </w:p>
        </w:tc>
      </w:tr>
      <w:tr w:rsidR="00E01AB3" w14:paraId="41F16A77" w14:textId="77777777" w:rsidTr="0060573A">
        <w:trPr>
          <w:trHeight w:val="432"/>
        </w:trPr>
        <w:tc>
          <w:tcPr>
            <w:tcW w:w="3116" w:type="dxa"/>
          </w:tcPr>
          <w:p w14:paraId="7A810DC6" w14:textId="7AE4A712" w:rsidR="00990BE6" w:rsidRPr="00990BE6" w:rsidRDefault="00E01AB3" w:rsidP="001D35C2">
            <w:pPr>
              <w:rPr>
                <w:szCs w:val="24"/>
              </w:rPr>
            </w:pPr>
            <w:r w:rsidRPr="00990BE6">
              <w:rPr>
                <w:szCs w:val="24"/>
              </w:rPr>
              <w:t>President</w:t>
            </w:r>
          </w:p>
        </w:tc>
        <w:tc>
          <w:tcPr>
            <w:tcW w:w="3117" w:type="dxa"/>
          </w:tcPr>
          <w:p w14:paraId="43FA6ECC" w14:textId="77777777" w:rsidR="00E01AB3" w:rsidRPr="00990BE6" w:rsidRDefault="00E01AB3" w:rsidP="001D35C2">
            <w:pPr>
              <w:rPr>
                <w:szCs w:val="24"/>
              </w:rPr>
            </w:pPr>
            <w:r w:rsidRPr="00990BE6">
              <w:rPr>
                <w:szCs w:val="24"/>
              </w:rPr>
              <w:t>Cheryl</w:t>
            </w:r>
          </w:p>
        </w:tc>
        <w:tc>
          <w:tcPr>
            <w:tcW w:w="3117" w:type="dxa"/>
          </w:tcPr>
          <w:p w14:paraId="79796A56" w14:textId="77777777" w:rsidR="00E01AB3" w:rsidRPr="00990BE6" w:rsidRDefault="00E01AB3" w:rsidP="001D35C2">
            <w:pPr>
              <w:rPr>
                <w:szCs w:val="24"/>
              </w:rPr>
            </w:pPr>
            <w:r w:rsidRPr="00990BE6">
              <w:rPr>
                <w:szCs w:val="24"/>
              </w:rPr>
              <w:t>Aschenbach</w:t>
            </w:r>
          </w:p>
        </w:tc>
      </w:tr>
      <w:tr w:rsidR="00E01AB3" w14:paraId="7029FCE5" w14:textId="77777777" w:rsidTr="0060573A">
        <w:trPr>
          <w:trHeight w:val="432"/>
        </w:trPr>
        <w:tc>
          <w:tcPr>
            <w:tcW w:w="3116" w:type="dxa"/>
          </w:tcPr>
          <w:p w14:paraId="658E2F92" w14:textId="77777777" w:rsidR="00E01AB3" w:rsidRPr="00990BE6" w:rsidRDefault="00E01AB3" w:rsidP="001D35C2">
            <w:pPr>
              <w:rPr>
                <w:szCs w:val="24"/>
              </w:rPr>
            </w:pPr>
            <w:r w:rsidRPr="00990BE6">
              <w:rPr>
                <w:szCs w:val="24"/>
              </w:rPr>
              <w:t>Vice President</w:t>
            </w:r>
          </w:p>
        </w:tc>
        <w:tc>
          <w:tcPr>
            <w:tcW w:w="3117" w:type="dxa"/>
          </w:tcPr>
          <w:p w14:paraId="1AC3D3CD" w14:textId="77777777" w:rsidR="00E01AB3" w:rsidRPr="00990BE6" w:rsidRDefault="00E01AB3" w:rsidP="001D35C2">
            <w:pPr>
              <w:rPr>
                <w:szCs w:val="24"/>
              </w:rPr>
            </w:pPr>
            <w:r w:rsidRPr="00990BE6">
              <w:rPr>
                <w:szCs w:val="24"/>
              </w:rPr>
              <w:t>Manuel</w:t>
            </w:r>
          </w:p>
        </w:tc>
        <w:tc>
          <w:tcPr>
            <w:tcW w:w="3117" w:type="dxa"/>
          </w:tcPr>
          <w:p w14:paraId="65A11831" w14:textId="77777777" w:rsidR="00E01AB3" w:rsidRPr="00990BE6" w:rsidRDefault="00E01AB3" w:rsidP="001D35C2">
            <w:pPr>
              <w:rPr>
                <w:szCs w:val="24"/>
              </w:rPr>
            </w:pPr>
            <w:r w:rsidRPr="00990BE6">
              <w:rPr>
                <w:szCs w:val="24"/>
              </w:rPr>
              <w:t>Vélez</w:t>
            </w:r>
          </w:p>
        </w:tc>
      </w:tr>
      <w:tr w:rsidR="00E01AB3" w14:paraId="0BCBA951" w14:textId="77777777" w:rsidTr="0060573A">
        <w:trPr>
          <w:trHeight w:val="432"/>
        </w:trPr>
        <w:tc>
          <w:tcPr>
            <w:tcW w:w="3116" w:type="dxa"/>
          </w:tcPr>
          <w:p w14:paraId="15D7C904" w14:textId="77777777" w:rsidR="00E01AB3" w:rsidRPr="00990BE6" w:rsidRDefault="00E01AB3" w:rsidP="001D35C2">
            <w:pPr>
              <w:rPr>
                <w:szCs w:val="24"/>
              </w:rPr>
            </w:pPr>
            <w:r w:rsidRPr="00990BE6">
              <w:rPr>
                <w:szCs w:val="24"/>
              </w:rPr>
              <w:t>Secretary</w:t>
            </w:r>
          </w:p>
        </w:tc>
        <w:tc>
          <w:tcPr>
            <w:tcW w:w="3117" w:type="dxa"/>
          </w:tcPr>
          <w:p w14:paraId="1247609E" w14:textId="77777777" w:rsidR="00E01AB3" w:rsidRPr="00990BE6" w:rsidRDefault="00E01AB3" w:rsidP="001D35C2">
            <w:pPr>
              <w:rPr>
                <w:szCs w:val="24"/>
              </w:rPr>
            </w:pPr>
            <w:r w:rsidRPr="00990BE6">
              <w:rPr>
                <w:szCs w:val="24"/>
              </w:rPr>
              <w:t>LaTonya</w:t>
            </w:r>
          </w:p>
        </w:tc>
        <w:tc>
          <w:tcPr>
            <w:tcW w:w="3117" w:type="dxa"/>
          </w:tcPr>
          <w:p w14:paraId="57524FC9" w14:textId="77777777" w:rsidR="00E01AB3" w:rsidRPr="00990BE6" w:rsidRDefault="00E01AB3" w:rsidP="001D35C2">
            <w:pPr>
              <w:rPr>
                <w:szCs w:val="24"/>
              </w:rPr>
            </w:pPr>
            <w:r w:rsidRPr="00990BE6">
              <w:rPr>
                <w:szCs w:val="24"/>
              </w:rPr>
              <w:t>Parker</w:t>
            </w:r>
          </w:p>
        </w:tc>
      </w:tr>
      <w:tr w:rsidR="00E01AB3" w14:paraId="5BE486C3" w14:textId="77777777" w:rsidTr="0060573A">
        <w:trPr>
          <w:trHeight w:val="432"/>
        </w:trPr>
        <w:tc>
          <w:tcPr>
            <w:tcW w:w="3116" w:type="dxa"/>
          </w:tcPr>
          <w:p w14:paraId="1F2B2CFE" w14:textId="77777777" w:rsidR="00E01AB3" w:rsidRPr="00990BE6" w:rsidRDefault="00E01AB3" w:rsidP="001D35C2">
            <w:pPr>
              <w:rPr>
                <w:szCs w:val="24"/>
              </w:rPr>
            </w:pPr>
            <w:r w:rsidRPr="00990BE6">
              <w:rPr>
                <w:szCs w:val="24"/>
              </w:rPr>
              <w:t>Treasurer</w:t>
            </w:r>
          </w:p>
        </w:tc>
        <w:tc>
          <w:tcPr>
            <w:tcW w:w="3117" w:type="dxa"/>
          </w:tcPr>
          <w:p w14:paraId="5669D853" w14:textId="77777777" w:rsidR="00E01AB3" w:rsidRPr="00990BE6" w:rsidRDefault="00E01AB3" w:rsidP="001D35C2">
            <w:pPr>
              <w:rPr>
                <w:szCs w:val="24"/>
              </w:rPr>
            </w:pPr>
            <w:r w:rsidRPr="00990BE6">
              <w:rPr>
                <w:szCs w:val="24"/>
              </w:rPr>
              <w:t>Robert L.</w:t>
            </w:r>
          </w:p>
        </w:tc>
        <w:tc>
          <w:tcPr>
            <w:tcW w:w="3117" w:type="dxa"/>
          </w:tcPr>
          <w:p w14:paraId="359CD001" w14:textId="77777777" w:rsidR="00E01AB3" w:rsidRPr="00990BE6" w:rsidRDefault="00E01AB3" w:rsidP="001D35C2">
            <w:pPr>
              <w:rPr>
                <w:szCs w:val="24"/>
              </w:rPr>
            </w:pPr>
            <w:r w:rsidRPr="00990BE6">
              <w:rPr>
                <w:szCs w:val="24"/>
              </w:rPr>
              <w:t>Stewart Jr.</w:t>
            </w:r>
          </w:p>
        </w:tc>
      </w:tr>
      <w:tr w:rsidR="00E01AB3" w14:paraId="5948F4A8" w14:textId="77777777" w:rsidTr="0060573A">
        <w:trPr>
          <w:trHeight w:val="432"/>
        </w:trPr>
        <w:tc>
          <w:tcPr>
            <w:tcW w:w="3116" w:type="dxa"/>
          </w:tcPr>
          <w:p w14:paraId="6912BCDB" w14:textId="77777777" w:rsidR="00E01AB3" w:rsidRPr="00990BE6" w:rsidRDefault="00E01AB3" w:rsidP="001D35C2">
            <w:pPr>
              <w:rPr>
                <w:szCs w:val="24"/>
              </w:rPr>
            </w:pPr>
            <w:r w:rsidRPr="00990BE6">
              <w:rPr>
                <w:szCs w:val="24"/>
              </w:rPr>
              <w:t>At-large Representative</w:t>
            </w:r>
          </w:p>
        </w:tc>
        <w:tc>
          <w:tcPr>
            <w:tcW w:w="3117" w:type="dxa"/>
          </w:tcPr>
          <w:p w14:paraId="0EE40B7B" w14:textId="77777777" w:rsidR="00E01AB3" w:rsidRPr="00990BE6" w:rsidRDefault="00E01AB3" w:rsidP="001D35C2">
            <w:pPr>
              <w:rPr>
                <w:szCs w:val="24"/>
              </w:rPr>
            </w:pPr>
            <w:r w:rsidRPr="00990BE6">
              <w:rPr>
                <w:szCs w:val="24"/>
              </w:rPr>
              <w:t>Christopher</w:t>
            </w:r>
          </w:p>
        </w:tc>
        <w:tc>
          <w:tcPr>
            <w:tcW w:w="3117" w:type="dxa"/>
          </w:tcPr>
          <w:p w14:paraId="5D993311" w14:textId="77777777" w:rsidR="00E01AB3" w:rsidRPr="00990BE6" w:rsidRDefault="00E01AB3" w:rsidP="001D35C2">
            <w:pPr>
              <w:rPr>
                <w:szCs w:val="24"/>
              </w:rPr>
            </w:pPr>
            <w:r w:rsidRPr="00990BE6">
              <w:rPr>
                <w:szCs w:val="24"/>
              </w:rPr>
              <w:t>Howerton</w:t>
            </w:r>
          </w:p>
        </w:tc>
      </w:tr>
      <w:tr w:rsidR="00E01AB3" w14:paraId="02D03A9B" w14:textId="77777777" w:rsidTr="0060573A">
        <w:trPr>
          <w:trHeight w:val="432"/>
        </w:trPr>
        <w:tc>
          <w:tcPr>
            <w:tcW w:w="3116" w:type="dxa"/>
          </w:tcPr>
          <w:p w14:paraId="5EDEB6EF" w14:textId="77777777" w:rsidR="00E01AB3" w:rsidRPr="00990BE6" w:rsidRDefault="00E01AB3" w:rsidP="001D35C2">
            <w:pPr>
              <w:rPr>
                <w:szCs w:val="24"/>
              </w:rPr>
            </w:pPr>
            <w:r w:rsidRPr="00990BE6">
              <w:rPr>
                <w:szCs w:val="24"/>
              </w:rPr>
              <w:t>At-large Representative</w:t>
            </w:r>
          </w:p>
        </w:tc>
        <w:tc>
          <w:tcPr>
            <w:tcW w:w="3117" w:type="dxa"/>
          </w:tcPr>
          <w:p w14:paraId="211CC9DD" w14:textId="77777777" w:rsidR="00E01AB3" w:rsidRPr="00990BE6" w:rsidRDefault="00E01AB3" w:rsidP="001D35C2">
            <w:pPr>
              <w:rPr>
                <w:szCs w:val="24"/>
              </w:rPr>
            </w:pPr>
            <w:r w:rsidRPr="00990BE6">
              <w:rPr>
                <w:szCs w:val="24"/>
              </w:rPr>
              <w:t>Juan</w:t>
            </w:r>
          </w:p>
        </w:tc>
        <w:tc>
          <w:tcPr>
            <w:tcW w:w="3117" w:type="dxa"/>
          </w:tcPr>
          <w:p w14:paraId="6878F15C" w14:textId="77777777" w:rsidR="00E01AB3" w:rsidRPr="00990BE6" w:rsidRDefault="00E01AB3" w:rsidP="001D35C2">
            <w:pPr>
              <w:rPr>
                <w:szCs w:val="24"/>
              </w:rPr>
            </w:pPr>
            <w:r w:rsidRPr="00990BE6">
              <w:rPr>
                <w:szCs w:val="24"/>
              </w:rPr>
              <w:t>Arzola</w:t>
            </w:r>
          </w:p>
        </w:tc>
      </w:tr>
      <w:tr w:rsidR="00E01AB3" w14:paraId="37BCDFA2" w14:textId="77777777" w:rsidTr="0060573A">
        <w:trPr>
          <w:trHeight w:val="432"/>
        </w:trPr>
        <w:tc>
          <w:tcPr>
            <w:tcW w:w="3116" w:type="dxa"/>
          </w:tcPr>
          <w:p w14:paraId="0964FA2B" w14:textId="77777777" w:rsidR="00E01AB3" w:rsidRPr="00990BE6" w:rsidRDefault="00E01AB3" w:rsidP="001D35C2">
            <w:pPr>
              <w:rPr>
                <w:szCs w:val="24"/>
              </w:rPr>
            </w:pPr>
            <w:r w:rsidRPr="00990BE6">
              <w:rPr>
                <w:szCs w:val="24"/>
              </w:rPr>
              <w:t>North Representative</w:t>
            </w:r>
          </w:p>
        </w:tc>
        <w:tc>
          <w:tcPr>
            <w:tcW w:w="3117" w:type="dxa"/>
          </w:tcPr>
          <w:p w14:paraId="01DDFD66" w14:textId="77777777" w:rsidR="00E01AB3" w:rsidRPr="00990BE6" w:rsidRDefault="00E01AB3" w:rsidP="001D35C2">
            <w:pPr>
              <w:rPr>
                <w:szCs w:val="24"/>
              </w:rPr>
            </w:pPr>
            <w:r w:rsidRPr="00990BE6">
              <w:rPr>
                <w:szCs w:val="24"/>
              </w:rPr>
              <w:t>Eric</w:t>
            </w:r>
          </w:p>
        </w:tc>
        <w:tc>
          <w:tcPr>
            <w:tcW w:w="3117" w:type="dxa"/>
          </w:tcPr>
          <w:p w14:paraId="3C4ED7E2" w14:textId="77777777" w:rsidR="00E01AB3" w:rsidRPr="00990BE6" w:rsidRDefault="00E01AB3" w:rsidP="001D35C2">
            <w:pPr>
              <w:rPr>
                <w:szCs w:val="24"/>
              </w:rPr>
            </w:pPr>
            <w:r w:rsidRPr="00990BE6">
              <w:rPr>
                <w:szCs w:val="24"/>
              </w:rPr>
              <w:t>Wada</w:t>
            </w:r>
          </w:p>
        </w:tc>
      </w:tr>
      <w:tr w:rsidR="00E01AB3" w14:paraId="5093B2D9" w14:textId="77777777" w:rsidTr="0060573A">
        <w:trPr>
          <w:trHeight w:val="432"/>
        </w:trPr>
        <w:tc>
          <w:tcPr>
            <w:tcW w:w="3116" w:type="dxa"/>
          </w:tcPr>
          <w:p w14:paraId="63DC2E54" w14:textId="77777777" w:rsidR="00E01AB3" w:rsidRPr="00990BE6" w:rsidRDefault="00E01AB3" w:rsidP="001D35C2">
            <w:pPr>
              <w:rPr>
                <w:szCs w:val="24"/>
              </w:rPr>
            </w:pPr>
            <w:r w:rsidRPr="00990BE6">
              <w:rPr>
                <w:szCs w:val="24"/>
              </w:rPr>
              <w:t>North Representative</w:t>
            </w:r>
          </w:p>
        </w:tc>
        <w:tc>
          <w:tcPr>
            <w:tcW w:w="3117" w:type="dxa"/>
          </w:tcPr>
          <w:p w14:paraId="10EA3C9D" w14:textId="77777777" w:rsidR="00E01AB3" w:rsidRPr="00990BE6" w:rsidRDefault="00E01AB3" w:rsidP="001D35C2">
            <w:pPr>
              <w:rPr>
                <w:szCs w:val="24"/>
              </w:rPr>
            </w:pPr>
            <w:r w:rsidRPr="00990BE6">
              <w:rPr>
                <w:szCs w:val="24"/>
              </w:rPr>
              <w:t>Mitra</w:t>
            </w:r>
          </w:p>
        </w:tc>
        <w:tc>
          <w:tcPr>
            <w:tcW w:w="3117" w:type="dxa"/>
          </w:tcPr>
          <w:p w14:paraId="0523FC53" w14:textId="77777777" w:rsidR="00E01AB3" w:rsidRPr="00990BE6" w:rsidRDefault="00E01AB3" w:rsidP="001D35C2">
            <w:pPr>
              <w:rPr>
                <w:szCs w:val="24"/>
              </w:rPr>
            </w:pPr>
            <w:r w:rsidRPr="00990BE6">
              <w:rPr>
                <w:szCs w:val="24"/>
              </w:rPr>
              <w:t>Sapienza</w:t>
            </w:r>
          </w:p>
        </w:tc>
      </w:tr>
      <w:tr w:rsidR="00E01AB3" w14:paraId="4E34A501" w14:textId="77777777" w:rsidTr="0060573A">
        <w:trPr>
          <w:trHeight w:val="432"/>
        </w:trPr>
        <w:tc>
          <w:tcPr>
            <w:tcW w:w="3116" w:type="dxa"/>
          </w:tcPr>
          <w:p w14:paraId="4D411F99" w14:textId="77777777" w:rsidR="00E01AB3" w:rsidRPr="00990BE6" w:rsidRDefault="00E01AB3" w:rsidP="001D35C2">
            <w:pPr>
              <w:rPr>
                <w:szCs w:val="24"/>
              </w:rPr>
            </w:pPr>
            <w:r w:rsidRPr="00990BE6">
              <w:rPr>
                <w:szCs w:val="24"/>
              </w:rPr>
              <w:t>South Representative</w:t>
            </w:r>
          </w:p>
        </w:tc>
        <w:tc>
          <w:tcPr>
            <w:tcW w:w="3117" w:type="dxa"/>
          </w:tcPr>
          <w:p w14:paraId="56661895" w14:textId="77777777" w:rsidR="00E01AB3" w:rsidRPr="00990BE6" w:rsidRDefault="00E01AB3" w:rsidP="001D35C2">
            <w:pPr>
              <w:rPr>
                <w:szCs w:val="24"/>
              </w:rPr>
            </w:pPr>
            <w:r w:rsidRPr="00990BE6">
              <w:rPr>
                <w:szCs w:val="24"/>
              </w:rPr>
              <w:t>Kimberley H.</w:t>
            </w:r>
          </w:p>
        </w:tc>
        <w:tc>
          <w:tcPr>
            <w:tcW w:w="3117" w:type="dxa"/>
          </w:tcPr>
          <w:p w14:paraId="25C9EA77" w14:textId="77777777" w:rsidR="00E01AB3" w:rsidRPr="00990BE6" w:rsidRDefault="00E01AB3" w:rsidP="001D35C2">
            <w:pPr>
              <w:rPr>
                <w:szCs w:val="24"/>
              </w:rPr>
            </w:pPr>
            <w:r w:rsidRPr="00990BE6">
              <w:rPr>
                <w:szCs w:val="24"/>
              </w:rPr>
              <w:t>Stiemke</w:t>
            </w:r>
          </w:p>
        </w:tc>
      </w:tr>
      <w:tr w:rsidR="00E01AB3" w14:paraId="5CAFA9FC" w14:textId="77777777" w:rsidTr="0060573A">
        <w:trPr>
          <w:trHeight w:val="432"/>
        </w:trPr>
        <w:tc>
          <w:tcPr>
            <w:tcW w:w="3116" w:type="dxa"/>
          </w:tcPr>
          <w:p w14:paraId="54AB0608" w14:textId="77777777" w:rsidR="00E01AB3" w:rsidRPr="00990BE6" w:rsidRDefault="00E01AB3" w:rsidP="001D35C2">
            <w:pPr>
              <w:rPr>
                <w:szCs w:val="24"/>
              </w:rPr>
            </w:pPr>
            <w:r w:rsidRPr="00990BE6">
              <w:rPr>
                <w:szCs w:val="24"/>
              </w:rPr>
              <w:t>South Representative</w:t>
            </w:r>
          </w:p>
        </w:tc>
        <w:tc>
          <w:tcPr>
            <w:tcW w:w="3117" w:type="dxa"/>
          </w:tcPr>
          <w:p w14:paraId="4013459C" w14:textId="77777777" w:rsidR="00E01AB3" w:rsidRPr="00990BE6" w:rsidRDefault="00E01AB3" w:rsidP="001D35C2">
            <w:pPr>
              <w:rPr>
                <w:szCs w:val="24"/>
              </w:rPr>
            </w:pPr>
            <w:r w:rsidRPr="00990BE6">
              <w:rPr>
                <w:szCs w:val="24"/>
              </w:rPr>
              <w:t>Carlos</w:t>
            </w:r>
          </w:p>
        </w:tc>
        <w:tc>
          <w:tcPr>
            <w:tcW w:w="3117" w:type="dxa"/>
          </w:tcPr>
          <w:p w14:paraId="3E62504F" w14:textId="77777777" w:rsidR="00E01AB3" w:rsidRPr="00990BE6" w:rsidRDefault="00E01AB3" w:rsidP="001D35C2">
            <w:pPr>
              <w:rPr>
                <w:szCs w:val="24"/>
              </w:rPr>
            </w:pPr>
            <w:r w:rsidRPr="00990BE6">
              <w:rPr>
                <w:szCs w:val="24"/>
              </w:rPr>
              <w:t>Guerrero</w:t>
            </w:r>
          </w:p>
        </w:tc>
      </w:tr>
      <w:tr w:rsidR="00E01AB3" w14:paraId="7D6ACB4A" w14:textId="77777777" w:rsidTr="0060573A">
        <w:trPr>
          <w:trHeight w:val="432"/>
        </w:trPr>
        <w:tc>
          <w:tcPr>
            <w:tcW w:w="3116" w:type="dxa"/>
          </w:tcPr>
          <w:p w14:paraId="5A1906BB" w14:textId="77777777" w:rsidR="00E01AB3" w:rsidRPr="00990BE6" w:rsidRDefault="00E01AB3" w:rsidP="001D35C2">
            <w:pPr>
              <w:rPr>
                <w:szCs w:val="24"/>
              </w:rPr>
            </w:pPr>
            <w:r w:rsidRPr="00990BE6">
              <w:rPr>
                <w:szCs w:val="24"/>
              </w:rPr>
              <w:t>Area A Representative</w:t>
            </w:r>
          </w:p>
        </w:tc>
        <w:tc>
          <w:tcPr>
            <w:tcW w:w="3117" w:type="dxa"/>
          </w:tcPr>
          <w:p w14:paraId="0D241A24" w14:textId="77777777" w:rsidR="00E01AB3" w:rsidRPr="00990BE6" w:rsidRDefault="00E01AB3" w:rsidP="001D35C2">
            <w:pPr>
              <w:rPr>
                <w:szCs w:val="24"/>
              </w:rPr>
            </w:pPr>
            <w:r w:rsidRPr="00990BE6">
              <w:rPr>
                <w:szCs w:val="24"/>
              </w:rPr>
              <w:t>Stephanie</w:t>
            </w:r>
          </w:p>
        </w:tc>
        <w:tc>
          <w:tcPr>
            <w:tcW w:w="3117" w:type="dxa"/>
          </w:tcPr>
          <w:p w14:paraId="3D0B8143" w14:textId="77777777" w:rsidR="00E01AB3" w:rsidRPr="00990BE6" w:rsidRDefault="00E01AB3" w:rsidP="001D35C2">
            <w:pPr>
              <w:rPr>
                <w:szCs w:val="24"/>
              </w:rPr>
            </w:pPr>
            <w:r w:rsidRPr="00990BE6">
              <w:rPr>
                <w:szCs w:val="24"/>
              </w:rPr>
              <w:t>Curry</w:t>
            </w:r>
          </w:p>
        </w:tc>
      </w:tr>
      <w:tr w:rsidR="00E01AB3" w14:paraId="720D83F4" w14:textId="77777777" w:rsidTr="0060573A">
        <w:trPr>
          <w:trHeight w:val="432"/>
        </w:trPr>
        <w:tc>
          <w:tcPr>
            <w:tcW w:w="3116" w:type="dxa"/>
          </w:tcPr>
          <w:p w14:paraId="0505E1ED" w14:textId="77777777" w:rsidR="00E01AB3" w:rsidRPr="00990BE6" w:rsidRDefault="00E01AB3" w:rsidP="001D35C2">
            <w:pPr>
              <w:rPr>
                <w:szCs w:val="24"/>
              </w:rPr>
            </w:pPr>
            <w:r w:rsidRPr="00990BE6">
              <w:rPr>
                <w:szCs w:val="24"/>
              </w:rPr>
              <w:t>Area B Representative</w:t>
            </w:r>
          </w:p>
        </w:tc>
        <w:tc>
          <w:tcPr>
            <w:tcW w:w="3117" w:type="dxa"/>
          </w:tcPr>
          <w:p w14:paraId="4DB9074E" w14:textId="77777777" w:rsidR="00E01AB3" w:rsidRPr="00990BE6" w:rsidRDefault="00E01AB3" w:rsidP="001D35C2">
            <w:pPr>
              <w:rPr>
                <w:szCs w:val="24"/>
              </w:rPr>
            </w:pPr>
            <w:r w:rsidRPr="00990BE6">
              <w:rPr>
                <w:szCs w:val="24"/>
              </w:rPr>
              <w:t>Karen</w:t>
            </w:r>
          </w:p>
        </w:tc>
        <w:tc>
          <w:tcPr>
            <w:tcW w:w="3117" w:type="dxa"/>
          </w:tcPr>
          <w:p w14:paraId="4E5A1CBE" w14:textId="77777777" w:rsidR="00E01AB3" w:rsidRPr="00990BE6" w:rsidRDefault="00E01AB3" w:rsidP="001D35C2">
            <w:pPr>
              <w:rPr>
                <w:szCs w:val="24"/>
              </w:rPr>
            </w:pPr>
            <w:r w:rsidRPr="00990BE6">
              <w:rPr>
                <w:szCs w:val="24"/>
              </w:rPr>
              <w:t>Chow</w:t>
            </w:r>
          </w:p>
        </w:tc>
      </w:tr>
      <w:tr w:rsidR="00E01AB3" w14:paraId="4CC9D4FF" w14:textId="77777777" w:rsidTr="0060573A">
        <w:trPr>
          <w:trHeight w:val="432"/>
        </w:trPr>
        <w:tc>
          <w:tcPr>
            <w:tcW w:w="3116" w:type="dxa"/>
          </w:tcPr>
          <w:p w14:paraId="0B8C2D2B" w14:textId="77777777" w:rsidR="00E01AB3" w:rsidRPr="00990BE6" w:rsidRDefault="00E01AB3" w:rsidP="001D35C2">
            <w:pPr>
              <w:rPr>
                <w:szCs w:val="24"/>
              </w:rPr>
            </w:pPr>
            <w:r w:rsidRPr="00990BE6">
              <w:rPr>
                <w:szCs w:val="24"/>
              </w:rPr>
              <w:t>Area C Representative</w:t>
            </w:r>
          </w:p>
        </w:tc>
        <w:tc>
          <w:tcPr>
            <w:tcW w:w="3117" w:type="dxa"/>
          </w:tcPr>
          <w:p w14:paraId="1BAD721C" w14:textId="77777777" w:rsidR="00E01AB3" w:rsidRPr="00990BE6" w:rsidRDefault="00E01AB3" w:rsidP="001D35C2">
            <w:pPr>
              <w:rPr>
                <w:szCs w:val="24"/>
              </w:rPr>
            </w:pPr>
            <w:r w:rsidRPr="00990BE6">
              <w:rPr>
                <w:szCs w:val="24"/>
              </w:rPr>
              <w:t>Erik D.</w:t>
            </w:r>
          </w:p>
        </w:tc>
        <w:tc>
          <w:tcPr>
            <w:tcW w:w="3117" w:type="dxa"/>
          </w:tcPr>
          <w:p w14:paraId="67FF6B72" w14:textId="77777777" w:rsidR="00E01AB3" w:rsidRPr="00990BE6" w:rsidRDefault="00E01AB3" w:rsidP="001D35C2">
            <w:pPr>
              <w:rPr>
                <w:szCs w:val="24"/>
              </w:rPr>
            </w:pPr>
            <w:r w:rsidRPr="00990BE6">
              <w:rPr>
                <w:szCs w:val="24"/>
              </w:rPr>
              <w:t>Reese</w:t>
            </w:r>
          </w:p>
        </w:tc>
      </w:tr>
      <w:tr w:rsidR="00E01AB3" w14:paraId="58406FD8" w14:textId="77777777" w:rsidTr="0060573A">
        <w:trPr>
          <w:trHeight w:val="432"/>
        </w:trPr>
        <w:tc>
          <w:tcPr>
            <w:tcW w:w="3116" w:type="dxa"/>
          </w:tcPr>
          <w:p w14:paraId="75FD19A5" w14:textId="77777777" w:rsidR="00E01AB3" w:rsidRPr="00990BE6" w:rsidRDefault="00E01AB3" w:rsidP="001D35C2">
            <w:pPr>
              <w:rPr>
                <w:szCs w:val="24"/>
              </w:rPr>
            </w:pPr>
            <w:r w:rsidRPr="00990BE6">
              <w:rPr>
                <w:szCs w:val="24"/>
              </w:rPr>
              <w:t>Area D Representative</w:t>
            </w:r>
          </w:p>
        </w:tc>
        <w:tc>
          <w:tcPr>
            <w:tcW w:w="3117" w:type="dxa"/>
          </w:tcPr>
          <w:p w14:paraId="09CDB513" w14:textId="4CA41EF4" w:rsidR="00E01AB3" w:rsidRPr="00990BE6" w:rsidRDefault="00E01AB3" w:rsidP="001D35C2">
            <w:pPr>
              <w:rPr>
                <w:szCs w:val="24"/>
              </w:rPr>
            </w:pPr>
            <w:r w:rsidRPr="00990BE6">
              <w:rPr>
                <w:szCs w:val="24"/>
              </w:rPr>
              <w:t>María</w:t>
            </w:r>
            <w:r w:rsidR="001F726A" w:rsidRPr="00990BE6">
              <w:rPr>
                <w:szCs w:val="24"/>
              </w:rPr>
              <w:t>-</w:t>
            </w:r>
            <w:r w:rsidRPr="00990BE6">
              <w:rPr>
                <w:szCs w:val="24"/>
              </w:rPr>
              <w:t>José</w:t>
            </w:r>
          </w:p>
        </w:tc>
        <w:tc>
          <w:tcPr>
            <w:tcW w:w="3117" w:type="dxa"/>
          </w:tcPr>
          <w:p w14:paraId="33A83D32" w14:textId="09188425" w:rsidR="00E01AB3" w:rsidRPr="00990BE6" w:rsidRDefault="00E01AB3" w:rsidP="001D35C2">
            <w:pPr>
              <w:rPr>
                <w:szCs w:val="24"/>
              </w:rPr>
            </w:pPr>
            <w:r w:rsidRPr="00990BE6">
              <w:rPr>
                <w:szCs w:val="24"/>
              </w:rPr>
              <w:t>Zeledón</w:t>
            </w:r>
            <w:r w:rsidR="001F726A" w:rsidRPr="00990BE6">
              <w:rPr>
                <w:szCs w:val="24"/>
              </w:rPr>
              <w:t>-</w:t>
            </w:r>
            <w:r w:rsidRPr="00990BE6">
              <w:rPr>
                <w:szCs w:val="24"/>
              </w:rPr>
              <w:t>Pérez</w:t>
            </w:r>
          </w:p>
        </w:tc>
      </w:tr>
    </w:tbl>
    <w:p w14:paraId="3B0F92A7" w14:textId="77777777" w:rsidR="00E01AB3" w:rsidRPr="00492385" w:rsidRDefault="00E01AB3" w:rsidP="00E01AB3"/>
    <w:p w14:paraId="4225D83D" w14:textId="77777777" w:rsidR="00932ADB" w:rsidRPr="00294B9C" w:rsidRDefault="00932ADB" w:rsidP="00261562"/>
    <w:sectPr w:rsidR="00932ADB" w:rsidRPr="00294B9C" w:rsidSect="002064CE">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C803C" w14:textId="77777777" w:rsidR="00606845" w:rsidRDefault="00606845" w:rsidP="00BF1BF5">
      <w:pPr>
        <w:spacing w:after="0" w:line="240" w:lineRule="auto"/>
      </w:pPr>
      <w:r>
        <w:separator/>
      </w:r>
    </w:p>
  </w:endnote>
  <w:endnote w:type="continuationSeparator" w:id="0">
    <w:p w14:paraId="3902F4BB" w14:textId="77777777" w:rsidR="00606845" w:rsidRDefault="00606845" w:rsidP="00BF1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361047"/>
      <w:docPartObj>
        <w:docPartGallery w:val="Page Numbers (Bottom of Page)"/>
        <w:docPartUnique/>
      </w:docPartObj>
    </w:sdtPr>
    <w:sdtEndPr>
      <w:rPr>
        <w:noProof/>
      </w:rPr>
    </w:sdtEndPr>
    <w:sdtContent>
      <w:p w14:paraId="369C8C8D" w14:textId="11FD137E" w:rsidR="00262159" w:rsidRDefault="002621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66ED56" w14:textId="77777777" w:rsidR="00AE6537" w:rsidRDefault="00AE6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1F385" w14:textId="77777777" w:rsidR="00606845" w:rsidRDefault="00606845" w:rsidP="00BF1BF5">
      <w:pPr>
        <w:spacing w:after="0" w:line="240" w:lineRule="auto"/>
      </w:pPr>
      <w:r>
        <w:separator/>
      </w:r>
    </w:p>
  </w:footnote>
  <w:footnote w:type="continuationSeparator" w:id="0">
    <w:p w14:paraId="7D1F1EFD" w14:textId="77777777" w:rsidR="00606845" w:rsidRDefault="00606845" w:rsidP="00BF1BF5">
      <w:pPr>
        <w:spacing w:after="0" w:line="240" w:lineRule="auto"/>
      </w:pPr>
      <w:r>
        <w:continuationSeparator/>
      </w:r>
    </w:p>
  </w:footnote>
  <w:footnote w:id="1">
    <w:p w14:paraId="7FC9F619" w14:textId="77777777" w:rsidR="008E12EA" w:rsidRDefault="008E12EA" w:rsidP="008E12EA">
      <w:pPr>
        <w:pStyle w:val="FootnoteText"/>
      </w:pPr>
      <w:r>
        <w:rPr>
          <w:rStyle w:val="FootnoteReference"/>
        </w:rPr>
        <w:footnoteRef/>
      </w:r>
      <w:r>
        <w:t xml:space="preserve"> </w:t>
      </w:r>
      <w:hyperlink r:id="rId1" w:history="1">
        <w:r w:rsidRPr="00E545DB">
          <w:rPr>
            <w:rStyle w:val="Hyperlink"/>
            <w:rFonts w:eastAsiaTheme="majorEastAsia"/>
          </w:rPr>
          <w:t>https://www.asccc.org/sites/default/files/COR_0.pdf</w:t>
        </w:r>
      </w:hyperlink>
      <w:r>
        <w:t xml:space="preserve"> </w:t>
      </w:r>
    </w:p>
  </w:footnote>
  <w:footnote w:id="2">
    <w:p w14:paraId="01F32109" w14:textId="77777777" w:rsidR="008E12EA" w:rsidRDefault="008E12EA" w:rsidP="008E12EA">
      <w:pPr>
        <w:pStyle w:val="FootnoteText"/>
      </w:pPr>
      <w:r>
        <w:rPr>
          <w:rStyle w:val="FootnoteReference"/>
        </w:rPr>
        <w:footnoteRef/>
      </w:r>
      <w:r>
        <w:t xml:space="preserve"> Title 5 </w:t>
      </w:r>
      <w:r>
        <w:rPr>
          <w:rFonts w:cstheme="minorHAnsi"/>
        </w:rPr>
        <w:t>§</w:t>
      </w:r>
      <w:r>
        <w:t xml:space="preserve">51200:  </w:t>
      </w:r>
      <w:hyperlink r:id="rId2" w:history="1">
        <w:r w:rsidRPr="00A421D9">
          <w:rPr>
            <w:rStyle w:val="Hyperlink"/>
            <w:rFonts w:eastAsiaTheme="majorEastAsia"/>
          </w:rPr>
          <w:t>https://govt.westlaw.com/calregs/Document/I5F7D7FA34C6911EC93A8000D3A7C4BC3?viewType=FullText&amp;originationContext=documenttoc&amp;transitionType=CategoryPageItem&amp;contextData=(sc.Default)</w:t>
        </w:r>
      </w:hyperlink>
      <w:r>
        <w:t xml:space="preserve"> </w:t>
      </w:r>
    </w:p>
  </w:footnote>
  <w:footnote w:id="3">
    <w:p w14:paraId="674704CC" w14:textId="77777777" w:rsidR="008E12EA" w:rsidRDefault="008E12EA" w:rsidP="008E12EA">
      <w:pPr>
        <w:pStyle w:val="FootnoteText"/>
      </w:pPr>
      <w:r>
        <w:rPr>
          <w:rStyle w:val="FootnoteReference"/>
        </w:rPr>
        <w:footnoteRef/>
      </w:r>
      <w:r>
        <w:t xml:space="preserve"> Title 5 </w:t>
      </w:r>
      <w:r>
        <w:rPr>
          <w:rFonts w:cstheme="minorHAnsi"/>
        </w:rPr>
        <w:t>§</w:t>
      </w:r>
      <w:r>
        <w:t xml:space="preserve">51201: </w:t>
      </w:r>
      <w:hyperlink r:id="rId3" w:history="1">
        <w:r w:rsidRPr="00A421D9">
          <w:rPr>
            <w:rStyle w:val="Hyperlink"/>
            <w:rFonts w:eastAsiaTheme="majorEastAsia"/>
          </w:rPr>
          <w:t>https://govt.westlaw.com/calregs/Document/I5F7FF0A34C6911EC93A8000D3A7C4BC3?viewType=FullText&amp;originationContext=documenttoc&amp;transitionType=CategoryPageItem&amp;contextData=(sc.Default)</w:t>
        </w:r>
      </w:hyperlink>
      <w:r>
        <w:t xml:space="preserve"> </w:t>
      </w:r>
    </w:p>
  </w:footnote>
  <w:footnote w:id="4">
    <w:p w14:paraId="2A8FFE99" w14:textId="77777777" w:rsidR="008E12EA" w:rsidRDefault="008E12EA" w:rsidP="008E12EA">
      <w:pPr>
        <w:pStyle w:val="FootnoteText"/>
      </w:pPr>
      <w:r>
        <w:rPr>
          <w:rStyle w:val="FootnoteReference"/>
        </w:rPr>
        <w:footnoteRef/>
      </w:r>
      <w:r>
        <w:t xml:space="preserve"> </w:t>
      </w:r>
      <w:hyperlink r:id="rId4" w:history="1">
        <w:r w:rsidRPr="00E545DB">
          <w:rPr>
            <w:rStyle w:val="Hyperlink"/>
            <w:rFonts w:eastAsiaTheme="majorEastAsia"/>
          </w:rPr>
          <w:t>https://www.asccc.org/resolutions/adding-culturally-responsive-curriculum-equity-mindedness-and-anti-racism-course-outline</w:t>
        </w:r>
      </w:hyperlink>
      <w:r>
        <w:t xml:space="preserve"> </w:t>
      </w:r>
    </w:p>
  </w:footnote>
  <w:footnote w:id="5">
    <w:p w14:paraId="7127010E" w14:textId="77777777" w:rsidR="008E12EA" w:rsidRDefault="008E12EA" w:rsidP="008E12EA">
      <w:pPr>
        <w:pStyle w:val="FootnoteText"/>
      </w:pPr>
      <w:r>
        <w:rPr>
          <w:rStyle w:val="FootnoteReference"/>
        </w:rPr>
        <w:footnoteRef/>
      </w:r>
      <w:r>
        <w:t xml:space="preserve"> </w:t>
      </w:r>
      <w:hyperlink r:id="rId5" w:history="1">
        <w:r w:rsidRPr="00E545DB">
          <w:rPr>
            <w:rStyle w:val="Hyperlink"/>
            <w:rFonts w:eastAsiaTheme="majorEastAsia"/>
          </w:rPr>
          <w:t>https://www.asccc.org/resolutions/support-revisions-title-5-include-deia-course-outline-record</w:t>
        </w:r>
      </w:hyperlink>
      <w:r>
        <w:t xml:space="preserve"> </w:t>
      </w:r>
    </w:p>
  </w:footnote>
  <w:footnote w:id="6">
    <w:p w14:paraId="00606F40" w14:textId="77777777" w:rsidR="008E12EA" w:rsidRDefault="008E12EA" w:rsidP="008E12EA">
      <w:pPr>
        <w:pStyle w:val="FootnoteText"/>
      </w:pPr>
      <w:r>
        <w:rPr>
          <w:rStyle w:val="FootnoteReference"/>
        </w:rPr>
        <w:footnoteRef/>
      </w:r>
      <w:r>
        <w:t xml:space="preserve"> </w:t>
      </w:r>
      <w:hyperlink r:id="rId6" w:history="1">
        <w:r w:rsidRPr="00E545DB">
          <w:rPr>
            <w:rStyle w:val="Hyperlink"/>
            <w:rFonts w:eastAsiaTheme="majorEastAsia"/>
          </w:rPr>
          <w:t>https://www.asccc.org/sites/default/files/COR_0.pdf</w:t>
        </w:r>
      </w:hyperlink>
    </w:p>
  </w:footnote>
  <w:footnote w:id="7">
    <w:p w14:paraId="2731F732" w14:textId="482881E3" w:rsidR="000A750A" w:rsidRDefault="000A750A">
      <w:pPr>
        <w:pStyle w:val="FootnoteText"/>
      </w:pPr>
      <w:r>
        <w:rPr>
          <w:rStyle w:val="FootnoteReference"/>
        </w:rPr>
        <w:footnoteRef/>
      </w:r>
      <w:r>
        <w:t xml:space="preserve"> </w:t>
      </w:r>
      <w:hyperlink r:id="rId7" w:history="1">
        <w:r w:rsidRPr="00D734E4">
          <w:rPr>
            <w:rStyle w:val="Hyperlink"/>
          </w:rPr>
          <w:t>https://www.asccc.org/sites/default/files/Work_Based_Learning.pdf</w:t>
        </w:r>
      </w:hyperlink>
    </w:p>
  </w:footnote>
  <w:footnote w:id="8">
    <w:p w14:paraId="32FE3488" w14:textId="77777777" w:rsidR="00B75CAF" w:rsidRDefault="00B75CAF" w:rsidP="00B75CAF">
      <w:pPr>
        <w:pStyle w:val="FootnoteText"/>
      </w:pPr>
      <w:r>
        <w:rPr>
          <w:rStyle w:val="FootnoteReference"/>
        </w:rPr>
        <w:footnoteRef/>
      </w:r>
      <w:r>
        <w:t xml:space="preserve"> </w:t>
      </w:r>
      <w:hyperlink r:id="rId8" w:history="1">
        <w:r w:rsidRPr="00D7038B">
          <w:rPr>
            <w:rStyle w:val="Hyperlink"/>
          </w:rPr>
          <w:t>https://www.cccco.edu/-/media/CCCCO-Website/Office-of-General-Counsel/bgcccfinalworkexperiencetext20230726ffa11y.pdf?la=en&amp;hash=605C58D56AC13E78C7A3335D4FC7C9CF5FE29C8C</w:t>
        </w:r>
      </w:hyperlink>
    </w:p>
  </w:footnote>
  <w:footnote w:id="9">
    <w:p w14:paraId="3BCA6BC7" w14:textId="3C5BBDF2" w:rsidR="000A750A" w:rsidRDefault="000A750A">
      <w:pPr>
        <w:pStyle w:val="FootnoteText"/>
      </w:pPr>
      <w:r>
        <w:rPr>
          <w:rStyle w:val="FootnoteReference"/>
        </w:rPr>
        <w:footnoteRef/>
      </w:r>
      <w:r>
        <w:t xml:space="preserve"> </w:t>
      </w:r>
      <w:hyperlink r:id="rId9" w:history="1">
        <w:r w:rsidRPr="00D734E4">
          <w:rPr>
            <w:rStyle w:val="Hyperlink"/>
          </w:rPr>
          <w:t>https://www.asccc.org/sites/default/files/Work_Based_Learning.pdf</w:t>
        </w:r>
      </w:hyperlink>
    </w:p>
  </w:footnote>
  <w:footnote w:id="10">
    <w:p w14:paraId="5D32077E" w14:textId="0862C5A7" w:rsidR="00B75CAF" w:rsidRDefault="00B75CAF" w:rsidP="00B75CAF">
      <w:pPr>
        <w:pStyle w:val="FootnoteText"/>
      </w:pPr>
      <w:r>
        <w:rPr>
          <w:rStyle w:val="FootnoteReference"/>
        </w:rPr>
        <w:footnoteRef/>
      </w:r>
      <w:r w:rsidR="008B1AD9">
        <w:t xml:space="preserve"> California Educational Code </w:t>
      </w:r>
      <w:r w:rsidR="008B1AD9">
        <w:rPr>
          <w:rFonts w:cstheme="minorHAnsi"/>
        </w:rPr>
        <w:t>§</w:t>
      </w:r>
      <w:r w:rsidR="008B1AD9">
        <w:t xml:space="preserve">66010.2: </w:t>
      </w:r>
      <w:r>
        <w:t xml:space="preserve"> </w:t>
      </w:r>
      <w:hyperlink r:id="rId10" w:history="1">
        <w:r w:rsidRPr="00D7038B">
          <w:rPr>
            <w:rStyle w:val="Hyperlink"/>
          </w:rPr>
          <w:t>https://leginfo.legislature.ca.gov/faces/codes_displaySection.xhtml?sectionNum=66010.2&amp;lawCode=EDC</w:t>
        </w:r>
      </w:hyperlink>
    </w:p>
  </w:footnote>
  <w:footnote w:id="11">
    <w:p w14:paraId="63564E8E" w14:textId="77777777" w:rsidR="00B75CAF" w:rsidRDefault="00B75CAF" w:rsidP="00B75CAF">
      <w:pPr>
        <w:pStyle w:val="FootnoteText"/>
      </w:pPr>
      <w:r>
        <w:rPr>
          <w:rStyle w:val="FootnoteReference"/>
        </w:rPr>
        <w:footnoteRef/>
      </w:r>
      <w:r>
        <w:t xml:space="preserve"> </w:t>
      </w:r>
      <w:hyperlink r:id="rId11" w:history="1">
        <w:r w:rsidRPr="001C57AB">
          <w:rPr>
            <w:rStyle w:val="Hyperlink"/>
          </w:rPr>
          <w:t>https://asccc.org/resolutions/ensuring-anti-racist-california-community-college-online-faculty-training-materials</w:t>
        </w:r>
      </w:hyperlink>
    </w:p>
  </w:footnote>
  <w:footnote w:id="12">
    <w:p w14:paraId="01107901" w14:textId="77777777" w:rsidR="00B75CAF" w:rsidRDefault="00B75CAF" w:rsidP="00B75CAF">
      <w:pPr>
        <w:pStyle w:val="FootnoteText"/>
      </w:pPr>
      <w:r>
        <w:rPr>
          <w:rStyle w:val="FootnoteReference"/>
        </w:rPr>
        <w:footnoteRef/>
      </w:r>
      <w:r>
        <w:t xml:space="preserve"> </w:t>
      </w:r>
      <w:hyperlink r:id="rId12" w:history="1">
        <w:r w:rsidRPr="001C57AB">
          <w:rPr>
            <w:rStyle w:val="Hyperlink"/>
          </w:rPr>
          <w:t>https://asccc.org/resolutions/resolution-support-academic-freedomsolidarity-faculty-across-nation</w:t>
        </w:r>
      </w:hyperlink>
    </w:p>
  </w:footnote>
  <w:footnote w:id="13">
    <w:p w14:paraId="6FFEBF8D" w14:textId="77777777" w:rsidR="00B75CAF" w:rsidRDefault="00B75CAF" w:rsidP="00B75CAF">
      <w:pPr>
        <w:pStyle w:val="FootnoteText"/>
      </w:pPr>
      <w:r>
        <w:rPr>
          <w:rStyle w:val="FootnoteReference"/>
        </w:rPr>
        <w:footnoteRef/>
      </w:r>
      <w:r>
        <w:t xml:space="preserve"> </w:t>
      </w:r>
      <w:hyperlink r:id="rId13" w:history="1">
        <w:r w:rsidRPr="001C57AB">
          <w:rPr>
            <w:rStyle w:val="Hyperlink"/>
          </w:rPr>
          <w:t>https://asccc.org/resolutions/adopt-academic-senate-california-community-colleges-mission-vision-and-values</w:t>
        </w:r>
      </w:hyperlink>
    </w:p>
  </w:footnote>
  <w:footnote w:id="14">
    <w:p w14:paraId="1B077A2A" w14:textId="77777777" w:rsidR="00B75CAF" w:rsidRDefault="00B75CAF" w:rsidP="00B75CAF">
      <w:pPr>
        <w:pStyle w:val="FootnoteText"/>
      </w:pPr>
      <w:r>
        <w:rPr>
          <w:rStyle w:val="FootnoteReference"/>
        </w:rPr>
        <w:footnoteRef/>
      </w:r>
      <w:r>
        <w:t xml:space="preserve"> </w:t>
      </w:r>
      <w:hyperlink r:id="rId14" w:history="1">
        <w:r w:rsidRPr="001C57AB">
          <w:rPr>
            <w:rStyle w:val="Hyperlink"/>
          </w:rPr>
          <w:t>https://asccc.org/resolutions/advancing-ideaa-guided-pathways</w:t>
        </w:r>
      </w:hyperlink>
      <w:r>
        <w:t xml:space="preserve"> </w:t>
      </w:r>
    </w:p>
  </w:footnote>
  <w:footnote w:id="15">
    <w:p w14:paraId="08E65888" w14:textId="77777777" w:rsidR="00B75CAF" w:rsidRDefault="00B75CAF" w:rsidP="00B75CAF">
      <w:pPr>
        <w:pStyle w:val="FootnoteText"/>
      </w:pPr>
      <w:r>
        <w:rPr>
          <w:rStyle w:val="FootnoteReference"/>
        </w:rPr>
        <w:footnoteRef/>
      </w:r>
      <w:r>
        <w:t xml:space="preserve"> </w:t>
      </w:r>
      <w:hyperlink r:id="rId15" w:history="1">
        <w:r w:rsidRPr="001C57AB">
          <w:rPr>
            <w:rStyle w:val="Hyperlink"/>
          </w:rPr>
          <w:t>https://asccc.org/resolutions/incorporating-inclusion-diversity-equity-anti-racism-and-accessibility-ideaa-principles</w:t>
        </w:r>
      </w:hyperlink>
    </w:p>
  </w:footnote>
  <w:footnote w:id="16">
    <w:p w14:paraId="07DF0086" w14:textId="77777777" w:rsidR="00B75CAF" w:rsidRDefault="00B75CAF" w:rsidP="00B75CAF">
      <w:pPr>
        <w:pStyle w:val="FootnoteText"/>
      </w:pPr>
      <w:r>
        <w:rPr>
          <w:rStyle w:val="FootnoteReference"/>
        </w:rPr>
        <w:footnoteRef/>
      </w:r>
      <w:r>
        <w:t xml:space="preserve"> </w:t>
      </w:r>
      <w:hyperlink r:id="rId16" w:history="1">
        <w:r w:rsidRPr="001C57AB">
          <w:rPr>
            <w:rStyle w:val="Hyperlink"/>
          </w:rPr>
          <w:t>https://asccc.org/resolutions/adding-anti-racism-academic-senate-california-community-colleges-vision-statement</w:t>
        </w:r>
      </w:hyperlink>
    </w:p>
  </w:footnote>
  <w:footnote w:id="17">
    <w:p w14:paraId="1123C11E" w14:textId="77777777" w:rsidR="00B75CAF" w:rsidRDefault="00B75CAF" w:rsidP="00B75CAF">
      <w:pPr>
        <w:pStyle w:val="FootnoteText"/>
      </w:pPr>
      <w:r>
        <w:rPr>
          <w:rStyle w:val="FootnoteReference"/>
        </w:rPr>
        <w:footnoteRef/>
      </w:r>
      <w:r>
        <w:t xml:space="preserve"> </w:t>
      </w:r>
      <w:hyperlink r:id="rId17" w:history="1">
        <w:r w:rsidRPr="001C57AB">
          <w:rPr>
            <w:rStyle w:val="Hyperlink"/>
          </w:rPr>
          <w:t>https://asccc.org/resolutions/develop-and-publish-inclusion-diversity-equity-anti-racism-and-accessibility-ideaa</w:t>
        </w:r>
      </w:hyperlink>
    </w:p>
  </w:footnote>
  <w:footnote w:id="18">
    <w:p w14:paraId="23B4445D" w14:textId="77777777" w:rsidR="00B75CAF" w:rsidRDefault="00B75CAF" w:rsidP="00B75CAF">
      <w:pPr>
        <w:pStyle w:val="FootnoteText"/>
      </w:pPr>
      <w:r>
        <w:rPr>
          <w:rStyle w:val="FootnoteReference"/>
        </w:rPr>
        <w:footnoteRef/>
      </w:r>
      <w:r>
        <w:t xml:space="preserve"> </w:t>
      </w:r>
      <w:hyperlink r:id="rId18" w:history="1">
        <w:r w:rsidRPr="001C57AB">
          <w:rPr>
            <w:rStyle w:val="Hyperlink"/>
          </w:rPr>
          <w:t>https://asccc.org/resolutions/adopt-dei-curriculum-model-principles-and-practices-framework</w:t>
        </w:r>
      </w:hyperlink>
    </w:p>
  </w:footnote>
  <w:footnote w:id="19">
    <w:p w14:paraId="55AF5A8F" w14:textId="77777777" w:rsidR="00B75CAF" w:rsidRDefault="00B75CAF" w:rsidP="00B75CAF">
      <w:pPr>
        <w:pStyle w:val="FootnoteText"/>
      </w:pPr>
      <w:r>
        <w:rPr>
          <w:rStyle w:val="FootnoteReference"/>
        </w:rPr>
        <w:footnoteRef/>
      </w:r>
      <w:r>
        <w:t xml:space="preserve"> </w:t>
      </w:r>
      <w:hyperlink r:id="rId19" w:history="1">
        <w:r w:rsidRPr="001C57AB">
          <w:rPr>
            <w:rStyle w:val="Hyperlink"/>
          </w:rPr>
          <w:t>https://asccc.org/resolutions/cultural-humility-driving-inclusion-diversity-equity-anti-racism-and-accessibility</w:t>
        </w:r>
      </w:hyperlink>
    </w:p>
  </w:footnote>
  <w:footnote w:id="20">
    <w:p w14:paraId="4331F152" w14:textId="77777777" w:rsidR="00B75CAF" w:rsidRDefault="00B75CAF" w:rsidP="00B75CAF">
      <w:pPr>
        <w:pStyle w:val="FootnoteText"/>
      </w:pPr>
      <w:r>
        <w:rPr>
          <w:rStyle w:val="FootnoteReference"/>
        </w:rPr>
        <w:footnoteRef/>
      </w:r>
      <w:r>
        <w:t xml:space="preserve"> </w:t>
      </w:r>
      <w:hyperlink r:id="rId20" w:history="1">
        <w:r w:rsidRPr="001C57AB">
          <w:rPr>
            <w:rStyle w:val="Hyperlink"/>
          </w:rPr>
          <w:t>https://asccc.org/resolutions/establishing-local-inclusion-diversity-equity-and-anti-racism-idea-liaison</w:t>
        </w:r>
      </w:hyperlink>
    </w:p>
  </w:footnote>
  <w:footnote w:id="21">
    <w:p w14:paraId="6E03BAAA" w14:textId="77777777" w:rsidR="00B75CAF" w:rsidRDefault="00B75CAF" w:rsidP="00B75CAF">
      <w:pPr>
        <w:pStyle w:val="FootnoteText"/>
      </w:pPr>
      <w:r>
        <w:rPr>
          <w:rStyle w:val="FootnoteReference"/>
        </w:rPr>
        <w:footnoteRef/>
      </w:r>
      <w:r>
        <w:t xml:space="preserve"> Title 5 </w:t>
      </w:r>
      <w:r>
        <w:rPr>
          <w:rFonts w:cstheme="minorHAnsi"/>
        </w:rPr>
        <w:t>§</w:t>
      </w:r>
      <w:r>
        <w:t xml:space="preserve">55000.5:  </w:t>
      </w:r>
      <w:hyperlink r:id="rId21" w:history="1">
        <w:r w:rsidRPr="00D7038B">
          <w:rPr>
            <w:rStyle w:val="Hyperlink"/>
          </w:rPr>
          <w:t>https://govt.westlaw.com/calregs/Document/I61E6B7734C6911EC93A8000D3A7C4BC3?viewType=FullText&amp;originationContext=documenttoc&amp;transitionType=CategoryPageItem&amp;contextData=(sc.Default)</w:t>
        </w:r>
      </w:hyperlink>
      <w:r>
        <w:t xml:space="preserve"> </w:t>
      </w:r>
    </w:p>
  </w:footnote>
  <w:footnote w:id="22">
    <w:p w14:paraId="201D10D5" w14:textId="77777777" w:rsidR="00B75CAF" w:rsidRDefault="00B75CAF" w:rsidP="00B75CAF">
      <w:pPr>
        <w:pStyle w:val="FootnoteText"/>
      </w:pPr>
      <w:r>
        <w:rPr>
          <w:rStyle w:val="FootnoteReference"/>
        </w:rPr>
        <w:footnoteRef/>
      </w:r>
      <w:r>
        <w:t xml:space="preserve"> California Education Code </w:t>
      </w:r>
      <w:r>
        <w:rPr>
          <w:rFonts w:cstheme="minorHAnsi"/>
        </w:rPr>
        <w:t>§</w:t>
      </w:r>
      <w:r>
        <w:t xml:space="preserve">70902: </w:t>
      </w:r>
      <w:hyperlink r:id="rId22" w:history="1">
        <w:r w:rsidRPr="00D7038B">
          <w:rPr>
            <w:rStyle w:val="Hyperlink"/>
          </w:rPr>
          <w:t>https://leginfo.legislature.ca.gov/faces/codes_displaySection.xhtml?sectionNum=70902.&amp;lawCode=EDC</w:t>
        </w:r>
      </w:hyperlink>
    </w:p>
  </w:footnote>
  <w:footnote w:id="23">
    <w:p w14:paraId="161B85A3" w14:textId="77777777" w:rsidR="00B75CAF" w:rsidRDefault="00B75CAF" w:rsidP="00B75CAF">
      <w:pPr>
        <w:pStyle w:val="FootnoteText"/>
      </w:pPr>
      <w:r>
        <w:rPr>
          <w:rStyle w:val="FootnoteReference"/>
        </w:rPr>
        <w:footnoteRef/>
      </w:r>
      <w:r>
        <w:t xml:space="preserve"> Title 5 </w:t>
      </w:r>
      <w:r>
        <w:rPr>
          <w:rFonts w:cstheme="minorHAnsi"/>
        </w:rPr>
        <w:t>§</w:t>
      </w:r>
      <w:r>
        <w:t xml:space="preserve">53200:  </w:t>
      </w:r>
      <w:hyperlink r:id="rId23" w:history="1">
        <w:r w:rsidRPr="00D7038B">
          <w:rPr>
            <w:rStyle w:val="Hyperlink"/>
          </w:rPr>
          <w:t>https://govt.westlaw.com/calregs/Document/I604256434C6911EC93A8000D3A7C4BC3?viewType=FullText&amp;originationContext=documenttoc&amp;transitionType=CategoryPageItem&amp;contextData=(sc.Default)</w:t>
        </w:r>
      </w:hyperlink>
    </w:p>
  </w:footnote>
  <w:footnote w:id="24">
    <w:p w14:paraId="38E271EB" w14:textId="77777777" w:rsidR="00B75CAF" w:rsidRDefault="00B75CAF" w:rsidP="00B75CAF">
      <w:pPr>
        <w:pStyle w:val="FootnoteText"/>
      </w:pPr>
      <w:r>
        <w:rPr>
          <w:rStyle w:val="FootnoteReference"/>
        </w:rPr>
        <w:footnoteRef/>
      </w:r>
      <w:r>
        <w:t xml:space="preserve"> </w:t>
      </w:r>
      <w:hyperlink r:id="rId24" w:history="1">
        <w:r w:rsidRPr="001C57AB">
          <w:rPr>
            <w:rStyle w:val="Hyperlink"/>
          </w:rPr>
          <w:t>https://asccc.org/sites/default/files/CCC_DEI-in-Curriculum_Model_Principles_and_Practices_June_2022.pdf</w:t>
        </w:r>
      </w:hyperlink>
    </w:p>
  </w:footnote>
  <w:footnote w:id="25">
    <w:p w14:paraId="62390495" w14:textId="77777777" w:rsidR="00B75CAF" w:rsidRDefault="00B75CAF" w:rsidP="00B75CAF">
      <w:pPr>
        <w:pStyle w:val="FootnoteText"/>
      </w:pPr>
      <w:r>
        <w:rPr>
          <w:rStyle w:val="FootnoteReference"/>
        </w:rPr>
        <w:footnoteRef/>
      </w:r>
      <w:r>
        <w:t xml:space="preserve"> </w:t>
      </w:r>
      <w:hyperlink r:id="rId25" w:history="1">
        <w:r w:rsidRPr="001C57AB">
          <w:rPr>
            <w:rStyle w:val="Hyperlink"/>
          </w:rPr>
          <w:t>https://deanza.instructure.com/courses/34140</w:t>
        </w:r>
      </w:hyperlink>
    </w:p>
  </w:footnote>
  <w:footnote w:id="26">
    <w:p w14:paraId="4E313F93" w14:textId="77777777" w:rsidR="00AB57B2" w:rsidRDefault="00AB57B2" w:rsidP="00AB57B2">
      <w:pPr>
        <w:pStyle w:val="FootnoteText"/>
      </w:pPr>
      <w:r>
        <w:rPr>
          <w:rStyle w:val="FootnoteReference"/>
        </w:rPr>
        <w:footnoteRef/>
      </w:r>
      <w:r>
        <w:t xml:space="preserve"> </w:t>
      </w:r>
      <w:hyperlink r:id="rId26" w:history="1">
        <w:r w:rsidRPr="001C57AB">
          <w:rPr>
            <w:rStyle w:val="Hyperlink"/>
          </w:rPr>
          <w:t>https://www.cccco.edu/-/media/CCCCO-Website/docs/memo/Cal-GETC-Administrative-Implementation-Guidance.pdf?la=en&amp;hash=DF2FD3E05C058C35ACF2A7B950B2505C4C5E791D</w:t>
        </w:r>
      </w:hyperlink>
    </w:p>
  </w:footnote>
  <w:footnote w:id="27">
    <w:p w14:paraId="31FE060B" w14:textId="77777777" w:rsidR="003C2712" w:rsidRPr="00B61E15" w:rsidRDefault="003C2712" w:rsidP="003C2712">
      <w:pPr>
        <w:spacing w:after="0" w:line="240" w:lineRule="auto"/>
        <w:rPr>
          <w:sz w:val="20"/>
          <w:szCs w:val="20"/>
        </w:rPr>
      </w:pPr>
      <w:r w:rsidRPr="00B61E15">
        <w:rPr>
          <w:sz w:val="20"/>
          <w:szCs w:val="20"/>
          <w:vertAlign w:val="superscript"/>
        </w:rPr>
        <w:footnoteRef/>
      </w:r>
      <w:r w:rsidRPr="00B61E15">
        <w:rPr>
          <w:sz w:val="20"/>
          <w:szCs w:val="20"/>
        </w:rPr>
        <w:t xml:space="preserve"> Cal-GETC: </w:t>
      </w:r>
      <w:hyperlink r:id="rId27">
        <w:r w:rsidRPr="00B61E15">
          <w:rPr>
            <w:color w:val="1155CC"/>
            <w:sz w:val="20"/>
            <w:szCs w:val="20"/>
            <w:u w:val="single"/>
          </w:rPr>
          <w:t>https://icas-ca.org/wp-content/uploads/2024/01/Cal-GETC_Standards_1v1_2023.pdf</w:t>
        </w:r>
      </w:hyperlink>
    </w:p>
  </w:footnote>
  <w:footnote w:id="28">
    <w:p w14:paraId="793AB2C7" w14:textId="77777777" w:rsidR="003C2712" w:rsidRDefault="003C2712" w:rsidP="003C2712">
      <w:pPr>
        <w:spacing w:after="0" w:line="240" w:lineRule="auto"/>
        <w:rPr>
          <w:sz w:val="20"/>
          <w:szCs w:val="20"/>
        </w:rPr>
      </w:pPr>
      <w:r w:rsidRPr="00B61E15">
        <w:rPr>
          <w:sz w:val="20"/>
          <w:szCs w:val="20"/>
          <w:vertAlign w:val="superscript"/>
        </w:rPr>
        <w:footnoteRef/>
      </w:r>
      <w:r w:rsidRPr="00B61E15">
        <w:rPr>
          <w:sz w:val="20"/>
          <w:szCs w:val="20"/>
        </w:rPr>
        <w:t xml:space="preserve"> ASCCC TAP: </w:t>
      </w:r>
      <w:hyperlink r:id="rId28">
        <w:r w:rsidRPr="00B61E15">
          <w:rPr>
            <w:color w:val="1155CC"/>
            <w:sz w:val="20"/>
            <w:szCs w:val="20"/>
            <w:u w:val="single"/>
          </w:rPr>
          <w:t>https://www.asccc.org/transfer-alignment-project</w:t>
        </w:r>
      </w:hyperlink>
    </w:p>
  </w:footnote>
  <w:footnote w:id="29">
    <w:p w14:paraId="5BE973E1" w14:textId="77777777" w:rsidR="003C2712" w:rsidRPr="00B61E15" w:rsidRDefault="003C2712" w:rsidP="003C2712">
      <w:pPr>
        <w:spacing w:after="0" w:line="240" w:lineRule="auto"/>
        <w:rPr>
          <w:sz w:val="20"/>
          <w:szCs w:val="20"/>
        </w:rPr>
      </w:pPr>
      <w:r w:rsidRPr="00B61E15">
        <w:rPr>
          <w:sz w:val="20"/>
          <w:szCs w:val="20"/>
          <w:vertAlign w:val="superscript"/>
        </w:rPr>
        <w:footnoteRef/>
      </w:r>
      <w:r w:rsidRPr="00B61E15">
        <w:rPr>
          <w:sz w:val="20"/>
          <w:szCs w:val="20"/>
        </w:rPr>
        <w:t xml:space="preserve"> Resolution F17 15.01: </w:t>
      </w:r>
      <w:hyperlink r:id="rId29">
        <w:r w:rsidRPr="00B61E15">
          <w:rPr>
            <w:color w:val="1155CC"/>
            <w:sz w:val="20"/>
            <w:szCs w:val="20"/>
            <w:u w:val="single"/>
          </w:rPr>
          <w:t>https://www.asccc.org/resolutions/aligning-transfer-pathways-california-state-university-and-university-california-systems</w:t>
        </w:r>
      </w:hyperlink>
    </w:p>
  </w:footnote>
  <w:footnote w:id="30">
    <w:p w14:paraId="260F54AF" w14:textId="77777777" w:rsidR="003C2712" w:rsidRPr="00B61E15" w:rsidRDefault="003C2712" w:rsidP="003C2712">
      <w:pPr>
        <w:spacing w:after="0" w:line="240" w:lineRule="auto"/>
        <w:rPr>
          <w:sz w:val="20"/>
          <w:szCs w:val="20"/>
        </w:rPr>
      </w:pPr>
      <w:r w:rsidRPr="00B61E15">
        <w:rPr>
          <w:sz w:val="20"/>
          <w:szCs w:val="20"/>
          <w:vertAlign w:val="superscript"/>
        </w:rPr>
        <w:footnoteRef/>
      </w:r>
      <w:r w:rsidRPr="00B61E15">
        <w:rPr>
          <w:sz w:val="20"/>
          <w:szCs w:val="20"/>
        </w:rPr>
        <w:t xml:space="preserve"> AB 928 (Berman, 2021): </w:t>
      </w:r>
      <w:hyperlink r:id="rId30">
        <w:r w:rsidRPr="00B61E15">
          <w:rPr>
            <w:color w:val="1155CC"/>
            <w:sz w:val="20"/>
            <w:szCs w:val="20"/>
            <w:u w:val="single"/>
          </w:rPr>
          <w:t>https://leginfo.legislature.ca.gov/faces/billTextClient.xhtml?bill_id=202120220AB928</w:t>
        </w:r>
      </w:hyperlink>
    </w:p>
  </w:footnote>
  <w:footnote w:id="31">
    <w:p w14:paraId="35307E2A" w14:textId="77777777" w:rsidR="003C2712" w:rsidRPr="00B61E15" w:rsidRDefault="003C2712" w:rsidP="003C2712">
      <w:pPr>
        <w:spacing w:after="0" w:line="240" w:lineRule="auto"/>
        <w:rPr>
          <w:sz w:val="20"/>
          <w:szCs w:val="20"/>
        </w:rPr>
      </w:pPr>
      <w:r w:rsidRPr="00B61E15">
        <w:rPr>
          <w:sz w:val="20"/>
          <w:szCs w:val="20"/>
          <w:vertAlign w:val="superscript"/>
        </w:rPr>
        <w:footnoteRef/>
      </w:r>
      <w:r w:rsidRPr="00B61E15">
        <w:rPr>
          <w:sz w:val="20"/>
          <w:szCs w:val="20"/>
        </w:rPr>
        <w:t xml:space="preserve"> Cal-GETC: </w:t>
      </w:r>
      <w:hyperlink r:id="rId31">
        <w:r w:rsidRPr="00B61E15">
          <w:rPr>
            <w:color w:val="1155CC"/>
            <w:sz w:val="20"/>
            <w:szCs w:val="20"/>
            <w:u w:val="single"/>
          </w:rPr>
          <w:t>https://icas-ca.org/wp-content/uploads/2024/01/Cal-GETC_Standards_1v1_2023.pdf</w:t>
        </w:r>
      </w:hyperlink>
    </w:p>
  </w:footnote>
  <w:footnote w:id="32">
    <w:p w14:paraId="11B984CD" w14:textId="77777777" w:rsidR="00FA18B4" w:rsidRPr="00B61E15" w:rsidRDefault="00FA18B4" w:rsidP="00FA18B4">
      <w:pPr>
        <w:spacing w:after="0" w:line="240" w:lineRule="auto"/>
        <w:rPr>
          <w:sz w:val="20"/>
          <w:szCs w:val="20"/>
        </w:rPr>
      </w:pPr>
      <w:r w:rsidRPr="00B61E15">
        <w:rPr>
          <w:sz w:val="20"/>
          <w:szCs w:val="20"/>
          <w:vertAlign w:val="superscript"/>
        </w:rPr>
        <w:footnoteRef/>
      </w:r>
      <w:r w:rsidRPr="00B61E15">
        <w:rPr>
          <w:sz w:val="20"/>
          <w:szCs w:val="20"/>
        </w:rPr>
        <w:t xml:space="preserve"> Cal-GETC: </w:t>
      </w:r>
      <w:hyperlink r:id="rId32">
        <w:r w:rsidRPr="00B61E15">
          <w:rPr>
            <w:color w:val="1155CC"/>
            <w:sz w:val="20"/>
            <w:szCs w:val="20"/>
            <w:u w:val="single"/>
          </w:rPr>
          <w:t>https://icas-ca.org/wp-content/uploads/2024/01/Cal-GETC_Standards_1v1_2023.pdf</w:t>
        </w:r>
      </w:hyperlink>
    </w:p>
  </w:footnote>
  <w:footnote w:id="33">
    <w:p w14:paraId="15285AA2" w14:textId="77777777" w:rsidR="00FA18B4" w:rsidRDefault="00FA18B4" w:rsidP="00FA18B4">
      <w:pPr>
        <w:spacing w:after="0" w:line="240" w:lineRule="auto"/>
        <w:rPr>
          <w:sz w:val="20"/>
          <w:szCs w:val="20"/>
        </w:rPr>
      </w:pPr>
      <w:r w:rsidRPr="00B61E15">
        <w:rPr>
          <w:sz w:val="20"/>
          <w:szCs w:val="20"/>
          <w:vertAlign w:val="superscript"/>
        </w:rPr>
        <w:footnoteRef/>
      </w:r>
      <w:r w:rsidRPr="00B61E15">
        <w:rPr>
          <w:sz w:val="20"/>
          <w:szCs w:val="20"/>
        </w:rPr>
        <w:t xml:space="preserve"> ASCCC TAP: </w:t>
      </w:r>
      <w:hyperlink r:id="rId33">
        <w:r w:rsidRPr="00B61E15">
          <w:rPr>
            <w:color w:val="1155CC"/>
            <w:sz w:val="20"/>
            <w:szCs w:val="20"/>
            <w:u w:val="single"/>
          </w:rPr>
          <w:t>https://www.asccc.org/transfer-alignment-project</w:t>
        </w:r>
      </w:hyperlink>
    </w:p>
  </w:footnote>
  <w:footnote w:id="34">
    <w:p w14:paraId="4829A822" w14:textId="77777777" w:rsidR="00FA18B4" w:rsidRPr="00B61E15" w:rsidRDefault="00FA18B4" w:rsidP="00FA18B4">
      <w:pPr>
        <w:spacing w:after="0" w:line="240" w:lineRule="auto"/>
        <w:rPr>
          <w:sz w:val="20"/>
          <w:szCs w:val="20"/>
        </w:rPr>
      </w:pPr>
      <w:r w:rsidRPr="00B61E15">
        <w:rPr>
          <w:sz w:val="20"/>
          <w:szCs w:val="20"/>
          <w:vertAlign w:val="superscript"/>
        </w:rPr>
        <w:footnoteRef/>
      </w:r>
      <w:r w:rsidRPr="00B61E15">
        <w:rPr>
          <w:sz w:val="20"/>
          <w:szCs w:val="20"/>
        </w:rPr>
        <w:t xml:space="preserve"> Resolution F17 15.01: </w:t>
      </w:r>
      <w:hyperlink r:id="rId34">
        <w:r w:rsidRPr="00B61E15">
          <w:rPr>
            <w:color w:val="1155CC"/>
            <w:sz w:val="20"/>
            <w:szCs w:val="20"/>
            <w:u w:val="single"/>
          </w:rPr>
          <w:t>https://www.asccc.org/resolutions/aligning-transfer-pathways-california-state-university-and-university-california-systems</w:t>
        </w:r>
      </w:hyperlink>
    </w:p>
  </w:footnote>
  <w:footnote w:id="35">
    <w:p w14:paraId="0123EB6F" w14:textId="77777777" w:rsidR="00FA18B4" w:rsidRPr="00B61E15" w:rsidRDefault="00FA18B4" w:rsidP="00FA18B4">
      <w:pPr>
        <w:spacing w:after="0" w:line="240" w:lineRule="auto"/>
        <w:rPr>
          <w:sz w:val="20"/>
          <w:szCs w:val="20"/>
        </w:rPr>
      </w:pPr>
      <w:r w:rsidRPr="00B61E15">
        <w:rPr>
          <w:sz w:val="20"/>
          <w:szCs w:val="20"/>
          <w:vertAlign w:val="superscript"/>
        </w:rPr>
        <w:footnoteRef/>
      </w:r>
      <w:r w:rsidRPr="00B61E15">
        <w:rPr>
          <w:sz w:val="20"/>
          <w:szCs w:val="20"/>
        </w:rPr>
        <w:t xml:space="preserve"> AB 928 (Berman, 2021): </w:t>
      </w:r>
      <w:hyperlink r:id="rId35">
        <w:r w:rsidRPr="00B61E15">
          <w:rPr>
            <w:color w:val="1155CC"/>
            <w:sz w:val="20"/>
            <w:szCs w:val="20"/>
            <w:u w:val="single"/>
          </w:rPr>
          <w:t>https://leginfo.legislature.ca.gov/faces/billTextClient.xhtml?bill_id=202120220AB928</w:t>
        </w:r>
      </w:hyperlink>
    </w:p>
  </w:footnote>
  <w:footnote w:id="36">
    <w:p w14:paraId="5A0BB4F3" w14:textId="77777777" w:rsidR="00FA18B4" w:rsidRPr="00B61E15" w:rsidRDefault="00FA18B4" w:rsidP="00FA18B4">
      <w:pPr>
        <w:spacing w:after="0" w:line="240" w:lineRule="auto"/>
        <w:rPr>
          <w:sz w:val="20"/>
          <w:szCs w:val="20"/>
        </w:rPr>
      </w:pPr>
      <w:r w:rsidRPr="00B61E15">
        <w:rPr>
          <w:sz w:val="20"/>
          <w:szCs w:val="20"/>
          <w:vertAlign w:val="superscript"/>
        </w:rPr>
        <w:footnoteRef/>
      </w:r>
      <w:r w:rsidRPr="00B61E15">
        <w:rPr>
          <w:sz w:val="20"/>
          <w:szCs w:val="20"/>
        </w:rPr>
        <w:t xml:space="preserve"> Cal-GETC: </w:t>
      </w:r>
      <w:hyperlink r:id="rId36">
        <w:r w:rsidRPr="00B61E15">
          <w:rPr>
            <w:color w:val="1155CC"/>
            <w:sz w:val="20"/>
            <w:szCs w:val="20"/>
            <w:u w:val="single"/>
          </w:rPr>
          <w:t>https://icas-ca.org/wp-content/uploads/2024/01/Cal-GETC_Standards_1v1_2023.pdf</w:t>
        </w:r>
      </w:hyperlink>
    </w:p>
  </w:footnote>
  <w:footnote w:id="37">
    <w:p w14:paraId="0E29ADE4" w14:textId="77777777" w:rsidR="00FA18B4" w:rsidRPr="00B61E15" w:rsidRDefault="00FA18B4" w:rsidP="00FA18B4">
      <w:pPr>
        <w:spacing w:after="0" w:line="240" w:lineRule="auto"/>
        <w:rPr>
          <w:sz w:val="20"/>
          <w:szCs w:val="20"/>
        </w:rPr>
      </w:pPr>
      <w:r w:rsidRPr="00B61E15">
        <w:rPr>
          <w:sz w:val="20"/>
          <w:szCs w:val="20"/>
          <w:vertAlign w:val="superscript"/>
        </w:rPr>
        <w:footnoteRef/>
      </w:r>
      <w:r w:rsidRPr="00B61E15">
        <w:rPr>
          <w:sz w:val="20"/>
          <w:szCs w:val="20"/>
        </w:rPr>
        <w:t xml:space="preserve"> C-ID TMC webpage prior to Cal-GETC implementation: </w:t>
      </w:r>
      <w:hyperlink r:id="rId37">
        <w:r w:rsidRPr="00B61E15">
          <w:rPr>
            <w:color w:val="1155CC"/>
            <w:sz w:val="20"/>
            <w:szCs w:val="20"/>
            <w:u w:val="single"/>
          </w:rPr>
          <w:t>https://c-id.net/tmc</w:t>
        </w:r>
      </w:hyperlink>
      <w:r w:rsidRPr="00B61E15">
        <w:rPr>
          <w:sz w:val="20"/>
          <w:szCs w:val="20"/>
        </w:rPr>
        <w:t xml:space="preserve"> [</w:t>
      </w:r>
      <w:r w:rsidRPr="00B61E15">
        <w:rPr>
          <w:color w:val="050505"/>
          <w:sz w:val="20"/>
          <w:szCs w:val="20"/>
          <w:highlight w:val="white"/>
        </w:rPr>
        <w:t xml:space="preserve">The following AS-T degrees are approved for the use of a transferable general education pattern designed for STEM (i.e. IGETC or CSU GE Breadth for STEM): </w:t>
      </w:r>
      <w:hyperlink r:id="rId38">
        <w:r w:rsidRPr="00B61E15">
          <w:rPr>
            <w:color w:val="0E69AA"/>
            <w:sz w:val="20"/>
            <w:szCs w:val="20"/>
          </w:rPr>
          <w:t>Biology</w:t>
        </w:r>
      </w:hyperlink>
      <w:r w:rsidRPr="00B61E15">
        <w:rPr>
          <w:color w:val="050505"/>
          <w:sz w:val="20"/>
          <w:szCs w:val="20"/>
          <w:highlight w:val="white"/>
        </w:rPr>
        <w:t xml:space="preserve">, </w:t>
      </w:r>
      <w:hyperlink r:id="rId39">
        <w:r w:rsidRPr="00B61E15">
          <w:rPr>
            <w:color w:val="0E69AA"/>
            <w:sz w:val="20"/>
            <w:szCs w:val="20"/>
          </w:rPr>
          <w:t>Chemistry</w:t>
        </w:r>
      </w:hyperlink>
      <w:r w:rsidRPr="00B61E15">
        <w:rPr>
          <w:color w:val="050505"/>
          <w:sz w:val="20"/>
          <w:szCs w:val="20"/>
          <w:highlight w:val="white"/>
        </w:rPr>
        <w:t xml:space="preserve">, and </w:t>
      </w:r>
      <w:hyperlink r:id="rId40">
        <w:r w:rsidRPr="00B61E15">
          <w:rPr>
            <w:color w:val="0E69AA"/>
            <w:sz w:val="20"/>
            <w:szCs w:val="20"/>
          </w:rPr>
          <w:t>Environmental Science</w:t>
        </w:r>
      </w:hyperlink>
      <w:r w:rsidRPr="00B61E15">
        <w:rPr>
          <w:color w:val="050505"/>
          <w:sz w:val="20"/>
          <w:szCs w:val="20"/>
          <w:highlight w:val="white"/>
        </w:rPr>
        <w:t>.</w:t>
      </w:r>
      <w:r w:rsidRPr="00B61E15">
        <w:rPr>
          <w:sz w:val="20"/>
          <w:szCs w:val="20"/>
        </w:rPr>
        <w:t>]</w:t>
      </w:r>
    </w:p>
  </w:footnote>
  <w:footnote w:id="38">
    <w:p w14:paraId="7000BA13" w14:textId="77777777" w:rsidR="00FA18B4" w:rsidRPr="00B61E15" w:rsidRDefault="00FA18B4" w:rsidP="00FA18B4">
      <w:pPr>
        <w:spacing w:after="0" w:line="240" w:lineRule="auto"/>
        <w:rPr>
          <w:sz w:val="20"/>
          <w:szCs w:val="20"/>
        </w:rPr>
      </w:pPr>
      <w:r w:rsidRPr="00B61E15">
        <w:rPr>
          <w:sz w:val="20"/>
          <w:szCs w:val="20"/>
          <w:vertAlign w:val="superscript"/>
        </w:rPr>
        <w:footnoteRef/>
      </w:r>
      <w:r w:rsidRPr="00B61E15">
        <w:rPr>
          <w:sz w:val="20"/>
          <w:szCs w:val="20"/>
        </w:rPr>
        <w:t xml:space="preserve"> UC Partial Certification of IGETC: </w:t>
      </w:r>
      <w:hyperlink r:id="rId41" w:anchor=":~:text=Partial%20certification,-Students%20who%20do&amp;text=After%20transfer%2C%20students%20submitting%20partial,as%20designated%20by%20their%20department.">
        <w:r w:rsidRPr="00B61E15">
          <w:rPr>
            <w:color w:val="1155CC"/>
            <w:sz w:val="20"/>
            <w:szCs w:val="20"/>
            <w:u w:val="single"/>
          </w:rPr>
          <w:t>https://admission.universityofcalifornia.edu/counselors/preparing-transfer-students/general-education-and-igetc.html#:~:text=Partial%20certification,-Students%20who%20do&amp;text=After%20transfer%2C%20students%20submitting%20partial,as%20designated%20by%20their%20department.</w:t>
        </w:r>
      </w:hyperlink>
    </w:p>
  </w:footnote>
  <w:footnote w:id="39">
    <w:p w14:paraId="66EF5838" w14:textId="77777777" w:rsidR="00FA18B4" w:rsidRDefault="00FA18B4" w:rsidP="00FA18B4">
      <w:pPr>
        <w:spacing w:after="0" w:line="240" w:lineRule="auto"/>
        <w:rPr>
          <w:sz w:val="20"/>
          <w:szCs w:val="20"/>
        </w:rPr>
      </w:pPr>
      <w:r w:rsidRPr="00B61E15">
        <w:rPr>
          <w:sz w:val="20"/>
          <w:szCs w:val="20"/>
          <w:vertAlign w:val="superscript"/>
        </w:rPr>
        <w:footnoteRef/>
      </w:r>
      <w:r w:rsidRPr="00B61E15">
        <w:rPr>
          <w:sz w:val="20"/>
          <w:szCs w:val="20"/>
        </w:rPr>
        <w:t xml:space="preserve"> Cal-GETC: </w:t>
      </w:r>
      <w:hyperlink r:id="rId42">
        <w:r w:rsidRPr="00B61E15">
          <w:rPr>
            <w:color w:val="1155CC"/>
            <w:sz w:val="20"/>
            <w:szCs w:val="20"/>
            <w:u w:val="single"/>
          </w:rPr>
          <w:t>https://icas-ca.org/wp-content/uploads/2024/01/Cal-GETC_Standards_1v1_2023.pdf</w:t>
        </w:r>
      </w:hyperlink>
    </w:p>
  </w:footnote>
  <w:footnote w:id="40">
    <w:p w14:paraId="07185D26" w14:textId="77777777" w:rsidR="00FA18B4" w:rsidRPr="00B61E15" w:rsidRDefault="00FA18B4" w:rsidP="00FA18B4">
      <w:pPr>
        <w:spacing w:after="0" w:line="240" w:lineRule="auto"/>
        <w:rPr>
          <w:sz w:val="20"/>
          <w:szCs w:val="20"/>
        </w:rPr>
      </w:pPr>
      <w:r w:rsidRPr="00B61E15">
        <w:rPr>
          <w:sz w:val="20"/>
          <w:szCs w:val="20"/>
          <w:vertAlign w:val="superscript"/>
        </w:rPr>
        <w:footnoteRef/>
      </w:r>
      <w:r w:rsidRPr="00B61E15">
        <w:rPr>
          <w:sz w:val="20"/>
          <w:szCs w:val="20"/>
        </w:rPr>
        <w:t xml:space="preserve"> Cal-GETC: </w:t>
      </w:r>
      <w:hyperlink r:id="rId43">
        <w:r w:rsidRPr="00B61E15">
          <w:rPr>
            <w:color w:val="1155CC"/>
            <w:sz w:val="20"/>
            <w:szCs w:val="20"/>
            <w:u w:val="single"/>
          </w:rPr>
          <w:t>https://icas-ca.org/wp-content/uploads/2024/01/Cal-GETC_Standards_1v1_2023.pdf</w:t>
        </w:r>
      </w:hyperlink>
    </w:p>
  </w:footnote>
  <w:footnote w:id="41">
    <w:p w14:paraId="4CBA377F" w14:textId="77777777" w:rsidR="00FA18B4" w:rsidRPr="00B61E15" w:rsidRDefault="00FA18B4" w:rsidP="00E556DC">
      <w:pPr>
        <w:spacing w:after="0" w:line="240" w:lineRule="auto"/>
        <w:rPr>
          <w:sz w:val="20"/>
          <w:szCs w:val="20"/>
        </w:rPr>
      </w:pPr>
      <w:r w:rsidRPr="00B61E15">
        <w:rPr>
          <w:sz w:val="20"/>
          <w:szCs w:val="20"/>
          <w:vertAlign w:val="superscript"/>
        </w:rPr>
        <w:footnoteRef/>
      </w:r>
      <w:r w:rsidRPr="00B61E15">
        <w:rPr>
          <w:sz w:val="20"/>
          <w:szCs w:val="20"/>
        </w:rPr>
        <w:t xml:space="preserve"> Cal-GETC: </w:t>
      </w:r>
      <w:hyperlink r:id="rId44">
        <w:r w:rsidRPr="00B61E15">
          <w:rPr>
            <w:color w:val="1155CC"/>
            <w:sz w:val="20"/>
            <w:szCs w:val="20"/>
            <w:u w:val="single"/>
          </w:rPr>
          <w:t>https://icas-ca.org/wp-content/uploads/2024/01/Cal-GETC_Standards_1v1_2023.pdf</w:t>
        </w:r>
      </w:hyperlink>
    </w:p>
  </w:footnote>
  <w:footnote w:id="42">
    <w:p w14:paraId="757BD82E" w14:textId="3C6DC701" w:rsidR="00DC3E70" w:rsidRPr="00FD2700" w:rsidRDefault="00DC3E70" w:rsidP="00DC3E70">
      <w:pPr>
        <w:pStyle w:val="FootnoteText"/>
        <w:rPr>
          <w:rFonts w:cstheme="minorHAnsi"/>
        </w:rPr>
      </w:pPr>
      <w:r w:rsidRPr="00FD2700">
        <w:rPr>
          <w:rStyle w:val="FootnoteReference"/>
          <w:rFonts w:cstheme="minorHAnsi"/>
        </w:rPr>
        <w:footnoteRef/>
      </w:r>
      <w:r w:rsidRPr="00FD2700">
        <w:rPr>
          <w:rFonts w:cstheme="minorHAnsi"/>
        </w:rPr>
        <w:t xml:space="preserve"> </w:t>
      </w:r>
      <w:r w:rsidR="008A7EFF">
        <w:rPr>
          <w:rFonts w:cstheme="minorHAnsi"/>
        </w:rPr>
        <w:t xml:space="preserve">AB 928 (Berman, 2021): </w:t>
      </w:r>
      <w:r w:rsidR="008A7EFF" w:rsidRPr="00FD2700">
        <w:rPr>
          <w:rFonts w:cstheme="minorHAnsi"/>
        </w:rPr>
        <w:t xml:space="preserve"> </w:t>
      </w:r>
      <w:hyperlink r:id="rId45" w:history="1">
        <w:r w:rsidR="008A7EFF" w:rsidRPr="00A421D9">
          <w:rPr>
            <w:rStyle w:val="Hyperlink"/>
            <w:rFonts w:cstheme="minorHAnsi"/>
          </w:rPr>
          <w:t>https://leginfo.legislature.ca.gov/faces/billTextClient.xhtml?bill_id=202120220AB928</w:t>
        </w:r>
      </w:hyperlink>
    </w:p>
  </w:footnote>
  <w:footnote w:id="43">
    <w:p w14:paraId="2B21592B" w14:textId="774B8D04" w:rsidR="00DC3E70" w:rsidRDefault="00DC3E70" w:rsidP="00DC3E70">
      <w:pPr>
        <w:spacing w:after="0" w:line="240" w:lineRule="auto"/>
        <w:rPr>
          <w:sz w:val="18"/>
          <w:szCs w:val="18"/>
        </w:rPr>
      </w:pPr>
      <w:r w:rsidRPr="00FD2700">
        <w:rPr>
          <w:rFonts w:cstheme="minorHAnsi"/>
          <w:sz w:val="20"/>
          <w:szCs w:val="20"/>
          <w:vertAlign w:val="superscript"/>
        </w:rPr>
        <w:footnoteRef/>
      </w:r>
      <w:r w:rsidR="000E037B">
        <w:rPr>
          <w:rFonts w:cstheme="minorHAnsi"/>
          <w:sz w:val="20"/>
          <w:szCs w:val="20"/>
        </w:rPr>
        <w:t xml:space="preserve"> AB 928 (Berman, 2021): </w:t>
      </w:r>
      <w:r w:rsidRPr="00FD2700">
        <w:rPr>
          <w:rFonts w:cstheme="minorHAnsi"/>
          <w:sz w:val="20"/>
          <w:szCs w:val="20"/>
        </w:rPr>
        <w:t xml:space="preserve"> </w:t>
      </w:r>
      <w:hyperlink r:id="rId46" w:history="1">
        <w:r w:rsidR="000E037B" w:rsidRPr="00A421D9">
          <w:rPr>
            <w:rStyle w:val="Hyperlink"/>
            <w:rFonts w:cstheme="minorHAnsi"/>
            <w:sz w:val="20"/>
            <w:szCs w:val="20"/>
          </w:rPr>
          <w:t>https://leginfo.legislature.ca.gov/faces/billTextClient.xhtml?bill_id=202120220AB928</w:t>
        </w:r>
      </w:hyperlink>
      <w:r w:rsidR="000E037B">
        <w:rPr>
          <w:rFonts w:cstheme="minorHAnsi"/>
          <w:sz w:val="20"/>
          <w:szCs w:val="20"/>
        </w:rPr>
        <w:t xml:space="preserve"> </w:t>
      </w:r>
    </w:p>
  </w:footnote>
  <w:footnote w:id="44">
    <w:p w14:paraId="39669539" w14:textId="77777777" w:rsidR="00DC3E70" w:rsidRPr="00FD2700" w:rsidRDefault="00DC3E70" w:rsidP="00DC3E70">
      <w:pPr>
        <w:spacing w:after="0" w:line="240" w:lineRule="auto"/>
        <w:rPr>
          <w:rFonts w:cstheme="minorHAnsi"/>
          <w:sz w:val="20"/>
          <w:szCs w:val="20"/>
        </w:rPr>
      </w:pPr>
      <w:r w:rsidRPr="00FD2700">
        <w:rPr>
          <w:rFonts w:cstheme="minorHAnsi"/>
          <w:sz w:val="20"/>
          <w:szCs w:val="20"/>
          <w:vertAlign w:val="superscript"/>
        </w:rPr>
        <w:footnoteRef/>
      </w:r>
      <w:r w:rsidRPr="00FD2700">
        <w:rPr>
          <w:rFonts w:cstheme="minorHAnsi"/>
          <w:sz w:val="20"/>
          <w:szCs w:val="20"/>
        </w:rPr>
        <w:t xml:space="preserve"> AB928 Associate Degree for Transfer Intersegmental Implementation Committee 2023 Final Report and Recommendations</w:t>
      </w:r>
      <w:r w:rsidRPr="00FD2700">
        <w:rPr>
          <w:rFonts w:eastAsia="Georgia" w:cstheme="minorHAnsi"/>
          <w:sz w:val="20"/>
          <w:szCs w:val="20"/>
        </w:rPr>
        <w:t xml:space="preserve">: </w:t>
      </w:r>
      <w:hyperlink r:id="rId47">
        <w:r w:rsidRPr="00FD2700">
          <w:rPr>
            <w:rFonts w:eastAsia="Georgia" w:cstheme="minorHAnsi"/>
            <w:color w:val="1155CC"/>
            <w:sz w:val="20"/>
            <w:szCs w:val="20"/>
            <w:u w:val="single"/>
          </w:rPr>
          <w:t>https://static1.squarespace.com/static/63294b64e0e6c61627d6b28e/t/6583146d9c96e46d9d50bc01/1703089263187/ab-928-final-report-december-2023-with-cover-letter.pdf</w:t>
        </w:r>
      </w:hyperlink>
      <w:r w:rsidRPr="00FD2700">
        <w:rPr>
          <w:rFonts w:eastAsia="Georgia" w:cstheme="minorHAnsi"/>
          <w:sz w:val="20"/>
          <w:szCs w:val="20"/>
        </w:rPr>
        <w:t>)</w:t>
      </w:r>
    </w:p>
  </w:footnote>
  <w:footnote w:id="45">
    <w:p w14:paraId="2F7773F0" w14:textId="74BAC714" w:rsidR="00DC3E70" w:rsidRPr="00FD2700" w:rsidRDefault="00DC3E70" w:rsidP="00DC3E70">
      <w:pPr>
        <w:spacing w:after="0" w:line="240" w:lineRule="auto"/>
        <w:rPr>
          <w:rFonts w:cstheme="minorHAnsi"/>
          <w:sz w:val="20"/>
          <w:szCs w:val="20"/>
        </w:rPr>
      </w:pPr>
      <w:r w:rsidRPr="00FD2700">
        <w:rPr>
          <w:rFonts w:cstheme="minorHAnsi"/>
          <w:sz w:val="20"/>
          <w:szCs w:val="20"/>
          <w:vertAlign w:val="superscript"/>
        </w:rPr>
        <w:footnoteRef/>
      </w:r>
      <w:r w:rsidRPr="00FD2700">
        <w:rPr>
          <w:rFonts w:cstheme="minorHAnsi"/>
          <w:sz w:val="20"/>
          <w:szCs w:val="20"/>
        </w:rPr>
        <w:t xml:space="preserve"> </w:t>
      </w:r>
      <w:r w:rsidRPr="00FD2700">
        <w:rPr>
          <w:rFonts w:eastAsia="Georgia" w:cstheme="minorHAnsi"/>
          <w:sz w:val="20"/>
          <w:szCs w:val="20"/>
        </w:rPr>
        <w:t xml:space="preserve">Grote, D. M., Knight, D. B., Lee, W. C., &amp; Watford, B. A. (2020). Exploring Influences of Policy Collisions on Transfer Student Access: Perspectives From Street-Level Bureaucrats. </w:t>
      </w:r>
      <w:r w:rsidRPr="00FD2700">
        <w:rPr>
          <w:rFonts w:eastAsia="Georgia" w:cstheme="minorHAnsi"/>
          <w:i/>
          <w:sz w:val="20"/>
          <w:szCs w:val="20"/>
        </w:rPr>
        <w:t>Educational Evaluation and Policy Analysis</w:t>
      </w:r>
      <w:r w:rsidRPr="00FD2700">
        <w:rPr>
          <w:rFonts w:eastAsia="Georgia" w:cstheme="minorHAnsi"/>
          <w:sz w:val="20"/>
          <w:szCs w:val="20"/>
        </w:rPr>
        <w:t xml:space="preserve">, </w:t>
      </w:r>
      <w:r w:rsidRPr="00FD2700">
        <w:rPr>
          <w:rFonts w:eastAsia="Georgia" w:cstheme="minorHAnsi"/>
          <w:i/>
          <w:sz w:val="20"/>
          <w:szCs w:val="20"/>
        </w:rPr>
        <w:t>42</w:t>
      </w:r>
      <w:r w:rsidRPr="00FD2700">
        <w:rPr>
          <w:rFonts w:eastAsia="Georgia" w:cstheme="minorHAnsi"/>
          <w:sz w:val="20"/>
          <w:szCs w:val="20"/>
        </w:rPr>
        <w:t xml:space="preserve">(4), 576–602. </w:t>
      </w:r>
      <w:hyperlink r:id="rId48" w:history="1">
        <w:r w:rsidR="00B302E3" w:rsidRPr="00A421D9">
          <w:rPr>
            <w:rStyle w:val="Hyperlink"/>
            <w:rFonts w:eastAsia="Georgia" w:cstheme="minorHAnsi"/>
            <w:sz w:val="20"/>
            <w:szCs w:val="20"/>
          </w:rPr>
          <w:t>https://doi.org/10.3102/0162373720962509</w:t>
        </w:r>
      </w:hyperlink>
    </w:p>
  </w:footnote>
  <w:footnote w:id="46">
    <w:p w14:paraId="14A79BED" w14:textId="58306146" w:rsidR="00DC3E70" w:rsidRPr="00EC2E69" w:rsidRDefault="00DC3E70" w:rsidP="00DC3E70">
      <w:pPr>
        <w:spacing w:after="0" w:line="240" w:lineRule="auto"/>
        <w:rPr>
          <w:rFonts w:cstheme="minorHAnsi"/>
          <w:sz w:val="20"/>
          <w:szCs w:val="20"/>
        </w:rPr>
      </w:pPr>
      <w:r w:rsidRPr="00EC2E69">
        <w:rPr>
          <w:rFonts w:cstheme="minorHAnsi"/>
          <w:sz w:val="20"/>
          <w:szCs w:val="20"/>
          <w:vertAlign w:val="superscript"/>
        </w:rPr>
        <w:footnoteRef/>
      </w:r>
      <w:r w:rsidRPr="00EC2E69">
        <w:rPr>
          <w:rFonts w:cstheme="minorHAnsi"/>
          <w:sz w:val="20"/>
          <w:szCs w:val="20"/>
        </w:rPr>
        <w:t xml:space="preserve"> </w:t>
      </w:r>
      <w:r w:rsidR="00B302E3">
        <w:rPr>
          <w:rFonts w:eastAsia="Georgia" w:cstheme="minorHAnsi"/>
          <w:sz w:val="20"/>
          <w:szCs w:val="20"/>
        </w:rPr>
        <w:t>F</w:t>
      </w:r>
      <w:r w:rsidRPr="00EC2E69">
        <w:rPr>
          <w:rFonts w:eastAsia="Georgia" w:cstheme="minorHAnsi"/>
          <w:sz w:val="20"/>
          <w:szCs w:val="20"/>
        </w:rPr>
        <w:t>or example, Engineering exists as one discipline in the CCC system without an AD-T, and there is no existing intersegmental model curriculum or local A.S. that would align with each transfer-receiving engineering degree programs in the CSUs or UCs</w:t>
      </w:r>
      <w:r w:rsidR="00414850">
        <w:rPr>
          <w:rFonts w:eastAsia="Georgia" w:cstheme="minorHAnsi"/>
          <w:sz w:val="20"/>
          <w:szCs w:val="20"/>
        </w:rPr>
        <w:t>,</w:t>
      </w:r>
      <w:r w:rsidRPr="00EC2E69">
        <w:rPr>
          <w:rFonts w:eastAsia="Georgia" w:cstheme="minorHAnsi"/>
          <w:sz w:val="20"/>
          <w:szCs w:val="20"/>
        </w:rPr>
        <w:t xml:space="preserve"> thereby discouraging community college students from taking engineering courses before transfer;  a stacked certificate model could offer potential convergence systemwide, facilitate community college engineering faculty involvement, and offer more degree planning guidance without the inclusion of general education courses (unlike the design of ADTs), as most engineering programs design their coursework to include the majority of general education courses in the final two years of the program.</w:t>
      </w:r>
    </w:p>
  </w:footnote>
  <w:footnote w:id="47">
    <w:p w14:paraId="7D158F7D" w14:textId="4D4270ED" w:rsidR="00DC3E70" w:rsidRPr="00EC2E69" w:rsidRDefault="00DC3E70" w:rsidP="00A86AC8">
      <w:pPr>
        <w:spacing w:after="0" w:line="240" w:lineRule="auto"/>
        <w:rPr>
          <w:rFonts w:cstheme="minorHAnsi"/>
          <w:sz w:val="20"/>
          <w:szCs w:val="20"/>
        </w:rPr>
      </w:pPr>
      <w:r w:rsidRPr="00EC2E69">
        <w:rPr>
          <w:rFonts w:cstheme="minorHAnsi"/>
          <w:sz w:val="20"/>
          <w:szCs w:val="20"/>
          <w:vertAlign w:val="superscript"/>
        </w:rPr>
        <w:footnoteRef/>
      </w:r>
      <w:r w:rsidRPr="00EC2E69">
        <w:rPr>
          <w:rFonts w:cstheme="minorHAnsi"/>
          <w:sz w:val="20"/>
          <w:szCs w:val="20"/>
        </w:rPr>
        <w:t xml:space="preserve"> </w:t>
      </w:r>
      <w:r w:rsidRPr="00EC2E69">
        <w:rPr>
          <w:rFonts w:eastAsia="Georgia" w:cstheme="minorHAnsi"/>
          <w:sz w:val="20"/>
          <w:szCs w:val="20"/>
        </w:rPr>
        <w:t xml:space="preserve">Jain, D. (2009). Critical Race Theory and community colleges: Through the eyes of women student leaders of color. </w:t>
      </w:r>
      <w:r w:rsidRPr="00EC2E69">
        <w:rPr>
          <w:rFonts w:eastAsia="Georgia" w:cstheme="minorHAnsi"/>
          <w:i/>
          <w:sz w:val="20"/>
          <w:szCs w:val="20"/>
        </w:rPr>
        <w:t>Community College Journal of Research and Practice</w:t>
      </w:r>
      <w:r w:rsidRPr="00EC2E69">
        <w:rPr>
          <w:rFonts w:eastAsia="Georgia" w:cstheme="minorHAnsi"/>
          <w:sz w:val="20"/>
          <w:szCs w:val="20"/>
        </w:rPr>
        <w:t xml:space="preserve">, </w:t>
      </w:r>
      <w:r w:rsidRPr="00EC2E69">
        <w:rPr>
          <w:rFonts w:eastAsia="Georgia" w:cstheme="minorHAnsi"/>
          <w:i/>
          <w:sz w:val="20"/>
          <w:szCs w:val="20"/>
        </w:rPr>
        <w:t>34</w:t>
      </w:r>
      <w:r w:rsidRPr="00EC2E69">
        <w:rPr>
          <w:rFonts w:eastAsia="Georgia" w:cstheme="minorHAnsi"/>
          <w:sz w:val="20"/>
          <w:szCs w:val="20"/>
        </w:rPr>
        <w:t xml:space="preserve">(1–2), 78–91. </w:t>
      </w:r>
      <w:hyperlink r:id="rId49" w:history="1">
        <w:r w:rsidR="00B302E3" w:rsidRPr="00A421D9">
          <w:rPr>
            <w:rStyle w:val="Hyperlink"/>
            <w:rFonts w:eastAsia="Georgia" w:cstheme="minorHAnsi"/>
            <w:sz w:val="20"/>
            <w:szCs w:val="20"/>
          </w:rPr>
          <w:t>https://doi.org/10.1080/10668920903385855</w:t>
        </w:r>
      </w:hyperlink>
    </w:p>
  </w:footnote>
  <w:footnote w:id="48">
    <w:p w14:paraId="3F2E97AF" w14:textId="0A5EF1DA" w:rsidR="00DC3E70" w:rsidRPr="00EC2E69" w:rsidRDefault="00DC3E70" w:rsidP="00A86AC8">
      <w:pPr>
        <w:spacing w:after="0" w:line="240" w:lineRule="auto"/>
        <w:rPr>
          <w:rFonts w:cstheme="minorHAnsi"/>
          <w:sz w:val="20"/>
          <w:szCs w:val="20"/>
        </w:rPr>
      </w:pPr>
      <w:r w:rsidRPr="00EC2E69">
        <w:rPr>
          <w:rFonts w:cstheme="minorHAnsi"/>
          <w:sz w:val="20"/>
          <w:szCs w:val="20"/>
          <w:vertAlign w:val="superscript"/>
        </w:rPr>
        <w:footnoteRef/>
      </w:r>
      <w:r w:rsidRPr="00EC2E69">
        <w:rPr>
          <w:rFonts w:cstheme="minorHAnsi"/>
          <w:sz w:val="20"/>
          <w:szCs w:val="20"/>
        </w:rPr>
        <w:t xml:space="preserve"> </w:t>
      </w:r>
      <w:r w:rsidRPr="00EC2E69">
        <w:rPr>
          <w:rFonts w:eastAsia="Georgia" w:cstheme="minorHAnsi"/>
          <w:sz w:val="20"/>
          <w:szCs w:val="20"/>
        </w:rPr>
        <w:t xml:space="preserve">Ogilvie, A. (2014). A Review of the Literature on Transfer Student Pathways to Engineering Degrees. </w:t>
      </w:r>
      <w:r w:rsidRPr="00EC2E69">
        <w:rPr>
          <w:rFonts w:eastAsia="Georgia" w:cstheme="minorHAnsi"/>
          <w:i/>
          <w:sz w:val="20"/>
          <w:szCs w:val="20"/>
        </w:rPr>
        <w:t>2014 ASEE Annual Conference &amp; Exposition Proceedings</w:t>
      </w:r>
      <w:r w:rsidRPr="00EC2E69">
        <w:rPr>
          <w:rFonts w:eastAsia="Georgia" w:cstheme="minorHAnsi"/>
          <w:sz w:val="20"/>
          <w:szCs w:val="20"/>
        </w:rPr>
        <w:t xml:space="preserve">, 24.101.1-24.101.14. </w:t>
      </w:r>
      <w:hyperlink r:id="rId50" w:history="1">
        <w:r w:rsidR="00B302E3" w:rsidRPr="00A421D9">
          <w:rPr>
            <w:rStyle w:val="Hyperlink"/>
            <w:rFonts w:eastAsia="Georgia" w:cstheme="minorHAnsi"/>
            <w:sz w:val="20"/>
            <w:szCs w:val="20"/>
          </w:rPr>
          <w:t>https://doi.org/10.18260/1-2--19993</w:t>
        </w:r>
      </w:hyperlink>
    </w:p>
  </w:footnote>
  <w:footnote w:id="49">
    <w:p w14:paraId="797DF65A" w14:textId="77777777" w:rsidR="00DC3E70" w:rsidRPr="00EC2E69" w:rsidRDefault="00DC3E70" w:rsidP="00A86AC8">
      <w:pPr>
        <w:spacing w:after="0" w:line="240" w:lineRule="auto"/>
        <w:rPr>
          <w:rFonts w:cstheme="minorHAnsi"/>
          <w:sz w:val="20"/>
          <w:szCs w:val="20"/>
        </w:rPr>
      </w:pPr>
      <w:r w:rsidRPr="00EC2E69">
        <w:rPr>
          <w:rFonts w:cstheme="minorHAnsi"/>
          <w:sz w:val="20"/>
          <w:szCs w:val="20"/>
          <w:vertAlign w:val="superscript"/>
        </w:rPr>
        <w:footnoteRef/>
      </w:r>
      <w:r w:rsidRPr="00EC2E69">
        <w:rPr>
          <w:rFonts w:cstheme="minorHAnsi"/>
          <w:sz w:val="20"/>
          <w:szCs w:val="20"/>
        </w:rPr>
        <w:t xml:space="preserve"> </w:t>
      </w:r>
      <w:r w:rsidRPr="00EC2E69">
        <w:rPr>
          <w:rFonts w:eastAsia="Georgia" w:cstheme="minorHAnsi"/>
          <w:sz w:val="20"/>
          <w:szCs w:val="20"/>
        </w:rPr>
        <w:t xml:space="preserve">Brawner, C. E., &amp; Mobley, C. (2016). Advising matters: Engineering transfer students’ transition experiences at five institutions. </w:t>
      </w:r>
      <w:r w:rsidRPr="00EC2E69">
        <w:rPr>
          <w:rFonts w:eastAsia="Georgia" w:cstheme="minorHAnsi"/>
          <w:i/>
          <w:sz w:val="20"/>
          <w:szCs w:val="20"/>
        </w:rPr>
        <w:t>International Journal of Engineering Education</w:t>
      </w:r>
      <w:r w:rsidRPr="00EC2E69">
        <w:rPr>
          <w:rFonts w:eastAsia="Georgia" w:cstheme="minorHAnsi"/>
          <w:sz w:val="20"/>
          <w:szCs w:val="20"/>
        </w:rPr>
        <w:t xml:space="preserve">, </w:t>
      </w:r>
      <w:r w:rsidRPr="00EC2E69">
        <w:rPr>
          <w:rFonts w:eastAsia="Georgia" w:cstheme="minorHAnsi"/>
          <w:i/>
          <w:sz w:val="20"/>
          <w:szCs w:val="20"/>
        </w:rPr>
        <w:t>32</w:t>
      </w:r>
      <w:r w:rsidRPr="00EC2E69">
        <w:rPr>
          <w:rFonts w:eastAsia="Georgia" w:cstheme="minorHAnsi"/>
          <w:sz w:val="20"/>
          <w:szCs w:val="20"/>
        </w:rPr>
        <w:t>(6), 2446–2459.</w:t>
      </w:r>
    </w:p>
  </w:footnote>
  <w:footnote w:id="50">
    <w:p w14:paraId="7060DC78" w14:textId="01B7A60D" w:rsidR="00DC3E70" w:rsidRPr="00EC2E69" w:rsidRDefault="00DC3E70" w:rsidP="00A86AC8">
      <w:pPr>
        <w:spacing w:after="0" w:line="240" w:lineRule="auto"/>
        <w:rPr>
          <w:rFonts w:cstheme="minorHAnsi"/>
          <w:sz w:val="20"/>
          <w:szCs w:val="20"/>
        </w:rPr>
      </w:pPr>
      <w:r w:rsidRPr="00EC2E69">
        <w:rPr>
          <w:rFonts w:cstheme="minorHAnsi"/>
          <w:sz w:val="20"/>
          <w:szCs w:val="20"/>
          <w:vertAlign w:val="superscript"/>
        </w:rPr>
        <w:footnoteRef/>
      </w:r>
      <w:r w:rsidRPr="00EC2E69">
        <w:rPr>
          <w:rFonts w:cstheme="minorHAnsi"/>
          <w:sz w:val="20"/>
          <w:szCs w:val="20"/>
        </w:rPr>
        <w:t xml:space="preserve"> </w:t>
      </w:r>
      <w:r w:rsidRPr="00EC2E69">
        <w:rPr>
          <w:rFonts w:eastAsia="Georgia" w:cstheme="minorHAnsi"/>
          <w:sz w:val="20"/>
          <w:szCs w:val="20"/>
        </w:rPr>
        <w:t xml:space="preserve">Dunmire, E., Enriquez, A., &amp; Disney, K. (2011). The dismantling of the engineering education pipeline. </w:t>
      </w:r>
      <w:r w:rsidRPr="00EC2E69">
        <w:rPr>
          <w:rFonts w:eastAsia="Georgia" w:cstheme="minorHAnsi"/>
          <w:i/>
          <w:sz w:val="20"/>
          <w:szCs w:val="20"/>
        </w:rPr>
        <w:t>2011 ASEE Annual Conference &amp; Exposition Proceedings</w:t>
      </w:r>
      <w:r w:rsidRPr="00EC2E69">
        <w:rPr>
          <w:rFonts w:eastAsia="Georgia" w:cstheme="minorHAnsi"/>
          <w:sz w:val="20"/>
          <w:szCs w:val="20"/>
        </w:rPr>
        <w:t xml:space="preserve">, 22.1443.1-22.1443.17. </w:t>
      </w:r>
      <w:hyperlink r:id="rId51" w:history="1">
        <w:r w:rsidR="00B302E3" w:rsidRPr="00A421D9">
          <w:rPr>
            <w:rStyle w:val="Hyperlink"/>
            <w:rFonts w:eastAsia="Georgia" w:cstheme="minorHAnsi"/>
            <w:sz w:val="20"/>
            <w:szCs w:val="20"/>
          </w:rPr>
          <w:t>https://doi.org/10.18260/1-2--18945</w:t>
        </w:r>
      </w:hyperlink>
    </w:p>
  </w:footnote>
  <w:footnote w:id="51">
    <w:p w14:paraId="4EF6D883" w14:textId="7D249E3B" w:rsidR="00DC3E70" w:rsidRPr="003E2F92" w:rsidRDefault="00DC3E70" w:rsidP="00AB4508">
      <w:pPr>
        <w:spacing w:after="0" w:line="240" w:lineRule="auto"/>
        <w:rPr>
          <w:rFonts w:cstheme="minorHAnsi"/>
          <w:sz w:val="20"/>
          <w:szCs w:val="20"/>
        </w:rPr>
      </w:pPr>
      <w:r w:rsidRPr="00EC2E69">
        <w:rPr>
          <w:rFonts w:cstheme="minorHAnsi"/>
          <w:sz w:val="20"/>
          <w:szCs w:val="20"/>
          <w:vertAlign w:val="superscript"/>
        </w:rPr>
        <w:footnoteRef/>
      </w:r>
      <w:r w:rsidRPr="00EC2E69">
        <w:rPr>
          <w:rFonts w:cstheme="minorHAnsi"/>
          <w:sz w:val="20"/>
          <w:szCs w:val="20"/>
        </w:rPr>
        <w:t xml:space="preserve"> </w:t>
      </w:r>
      <w:r w:rsidRPr="00EC2E69">
        <w:rPr>
          <w:rFonts w:eastAsia="Georgia" w:cstheme="minorHAnsi"/>
          <w:sz w:val="20"/>
          <w:szCs w:val="20"/>
        </w:rPr>
        <w:t>The 8th edition of the Program Course and Approval Handbook (2019) states, “Title 5, §55070 allows for the approval of Certificates of Achievement that satisfy transfer patterns of UC, CSU, or accredited public baccalaureate institutions in adjacent states, which award the baccalaureate degree” (</w:t>
      </w:r>
      <w:hyperlink r:id="rId52">
        <w:r w:rsidRPr="00EC2E69">
          <w:rPr>
            <w:rFonts w:eastAsia="Georgia" w:cstheme="minorHAnsi"/>
            <w:sz w:val="20"/>
            <w:szCs w:val="20"/>
          </w:rPr>
          <w:t>p. 95).</w:t>
        </w:r>
        <w:r w:rsidRPr="003E2F92">
          <w:rPr>
            <w:rFonts w:eastAsia="Georgia" w:cstheme="minorHAnsi"/>
            <w:sz w:val="20"/>
            <w:szCs w:val="20"/>
          </w:rPr>
          <w:t xml:space="preserve"> </w:t>
        </w:r>
      </w:hyperlink>
    </w:p>
  </w:footnote>
  <w:footnote w:id="52">
    <w:p w14:paraId="19D36814" w14:textId="77777777" w:rsidR="00AB5804" w:rsidRDefault="00AB5804" w:rsidP="00AB4508">
      <w:pPr>
        <w:pStyle w:val="FootnoteText"/>
      </w:pPr>
      <w:r>
        <w:rPr>
          <w:rStyle w:val="FootnoteReference"/>
        </w:rPr>
        <w:footnoteRef/>
      </w:r>
      <w:r>
        <w:t xml:space="preserve"> CSU A-G Course Requirements: </w:t>
      </w:r>
      <w:hyperlink r:id="rId53" w:history="1">
        <w:r w:rsidRPr="00506EBE">
          <w:rPr>
            <w:rStyle w:val="Hyperlink"/>
          </w:rPr>
          <w:t>https://www.calstate.edu/apply/freshman/getting_into_the_csu/pages/admission-requirements.aspx</w:t>
        </w:r>
      </w:hyperlink>
    </w:p>
  </w:footnote>
  <w:footnote w:id="53">
    <w:p w14:paraId="5E4C92B8" w14:textId="77777777" w:rsidR="00AB5804" w:rsidRDefault="00AB5804" w:rsidP="00AB4508">
      <w:pPr>
        <w:pStyle w:val="FootnoteText"/>
      </w:pPr>
      <w:r>
        <w:rPr>
          <w:rStyle w:val="FootnoteReference"/>
        </w:rPr>
        <w:footnoteRef/>
      </w:r>
      <w:r>
        <w:t xml:space="preserve"> UC A-G Course Requirements: </w:t>
      </w:r>
      <w:hyperlink r:id="rId54" w:history="1">
        <w:r w:rsidRPr="00506EBE">
          <w:rPr>
            <w:rStyle w:val="Hyperlink"/>
          </w:rPr>
          <w:t>https://admission.universityofcalifornia.edu/admission-requirements/freshman-requirements/</w:t>
        </w:r>
      </w:hyperlink>
    </w:p>
    <w:p w14:paraId="3AA57350" w14:textId="77777777" w:rsidR="00AB5804" w:rsidRDefault="00AB5804" w:rsidP="00AB5804">
      <w:pPr>
        <w:pStyle w:val="FootnoteText"/>
      </w:pPr>
    </w:p>
  </w:footnote>
  <w:footnote w:id="54">
    <w:p w14:paraId="2810F594" w14:textId="35F034CA" w:rsidR="00335308" w:rsidRDefault="00335308" w:rsidP="00335308">
      <w:pPr>
        <w:pStyle w:val="FootnoteText"/>
      </w:pPr>
      <w:r>
        <w:rPr>
          <w:rStyle w:val="FootnoteReference"/>
        </w:rPr>
        <w:footnoteRef/>
      </w:r>
      <w:r>
        <w:t xml:space="preserve"> The UCTEL Areas are UC-E (English composition), UC-M (mathematical concepts and quantitative reasoning), UC-H (arts and humanities), UC-B (social and behavioral sciences), and UC-S (physical and biological sciences). To see what courses from your college are approved for UCTEL areas, please go to </w:t>
      </w:r>
      <w:hyperlink r:id="rId55" w:history="1">
        <w:r w:rsidR="00445FC8" w:rsidRPr="00D734E4">
          <w:rPr>
            <w:rStyle w:val="Hyperlink"/>
          </w:rPr>
          <w:t>https://assist.org/</w:t>
        </w:r>
      </w:hyperlink>
    </w:p>
  </w:footnote>
  <w:footnote w:id="55">
    <w:p w14:paraId="2DA9E8E9" w14:textId="7DCFF496" w:rsidR="00335308" w:rsidRDefault="00335308" w:rsidP="00335308">
      <w:pPr>
        <w:pStyle w:val="FootnoteText"/>
      </w:pPr>
      <w:r>
        <w:rPr>
          <w:rStyle w:val="FootnoteReference"/>
        </w:rPr>
        <w:footnoteRef/>
      </w:r>
      <w:r>
        <w:t xml:space="preserve"> For more information about the seven-course pattern requirement for transfer students, please </w:t>
      </w:r>
      <w:r w:rsidR="00CE41DD">
        <w:t>see</w:t>
      </w:r>
      <w:r>
        <w:t xml:space="preserve"> </w:t>
      </w:r>
      <w:hyperlink r:id="rId56" w:history="1">
        <w:r w:rsidRPr="001C57AB">
          <w:rPr>
            <w:rStyle w:val="Hyperlink"/>
          </w:rPr>
          <w:t>https://admission.universityofcalifornia.edu/admission-requirements/transfer-requirements/preparing-to-transfer/basic-requirements.html</w:t>
        </w:r>
      </w:hyperlink>
      <w:r>
        <w:t xml:space="preserve"> </w:t>
      </w:r>
    </w:p>
  </w:footnote>
  <w:footnote w:id="56">
    <w:p w14:paraId="6A590AAF" w14:textId="77777777" w:rsidR="00335308" w:rsidRDefault="00335308" w:rsidP="00335308">
      <w:pPr>
        <w:pStyle w:val="FootnoteText"/>
      </w:pPr>
      <w:r>
        <w:rPr>
          <w:rStyle w:val="FootnoteReference"/>
        </w:rPr>
        <w:footnoteRef/>
      </w:r>
      <w:r>
        <w:t xml:space="preserve"> The UCTCA (“UC transferability”) submission period is every summer (June, July, or August, depending on the college). Articulation officers submit courses through ASSIST. While there is no formal way for articulation officers to request UCTEL consideration, they can informally request such consideration by including a note in the comments box when submitting a UCTCA proposal.  </w:t>
      </w:r>
    </w:p>
  </w:footnote>
  <w:footnote w:id="57">
    <w:p w14:paraId="4089F692" w14:textId="77777777" w:rsidR="00DC6803" w:rsidRPr="00B61E15" w:rsidRDefault="00DC6803" w:rsidP="003C562B">
      <w:pPr>
        <w:spacing w:after="0" w:line="240" w:lineRule="auto"/>
        <w:rPr>
          <w:sz w:val="20"/>
          <w:szCs w:val="20"/>
        </w:rPr>
      </w:pPr>
      <w:r w:rsidRPr="00B61E15">
        <w:rPr>
          <w:sz w:val="20"/>
          <w:szCs w:val="20"/>
          <w:vertAlign w:val="superscript"/>
        </w:rPr>
        <w:footnoteRef/>
      </w:r>
      <w:r w:rsidRPr="00B61E15">
        <w:rPr>
          <w:sz w:val="20"/>
          <w:szCs w:val="20"/>
        </w:rPr>
        <w:t xml:space="preserve"> </w:t>
      </w:r>
      <w:hyperlink r:id="rId57">
        <w:r w:rsidRPr="00B61E15">
          <w:rPr>
            <w:color w:val="1155CC"/>
            <w:sz w:val="20"/>
            <w:szCs w:val="20"/>
            <w:u w:val="single"/>
          </w:rPr>
          <w:t>https://www.cccco.edu/-/media/CCCCO-Website/docs/memo/ESLEI-2415-AB-1705-Validation-of-Equitable-Placement-Support-and-Completion-Practices-for-STEM-Progr.pdf?la=en&amp;hash=60D9524BAD2695B8D34252BFFDA8CF8F4805F197</w:t>
        </w:r>
      </w:hyperlink>
    </w:p>
  </w:footnote>
  <w:footnote w:id="58">
    <w:p w14:paraId="07C51A15" w14:textId="77777777" w:rsidR="00DC6803" w:rsidRPr="00B61E15" w:rsidRDefault="00DC6803" w:rsidP="003C562B">
      <w:pPr>
        <w:pStyle w:val="FootnoteText"/>
      </w:pPr>
      <w:r w:rsidRPr="00B61E15">
        <w:rPr>
          <w:rStyle w:val="FootnoteReference"/>
        </w:rPr>
        <w:footnoteRef/>
      </w:r>
      <w:r w:rsidRPr="00B61E15">
        <w:t xml:space="preserve"> </w:t>
      </w:r>
      <w:hyperlink r:id="rId58" w:history="1">
        <w:r w:rsidRPr="00B61E15">
          <w:rPr>
            <w:rStyle w:val="Hyperlink"/>
          </w:rPr>
          <w:t>https://www.cccco.edu/-/media/CCCCO-Website/docs/memo/ESLEI-2415-AB-1705-Validation-of-Equitable-Placement-Support-and-Completion-Practices-for-STEM-Progr.pdf?la=en&amp;hash=60D9524BAD2695B8D34252BFFDA8CF8F4805F197</w:t>
        </w:r>
      </w:hyperlink>
    </w:p>
  </w:footnote>
  <w:footnote w:id="59">
    <w:p w14:paraId="2F863F58" w14:textId="77777777" w:rsidR="00DC6803" w:rsidRPr="00B61E15" w:rsidRDefault="00DC6803" w:rsidP="003C562B">
      <w:pPr>
        <w:spacing w:after="0" w:line="240" w:lineRule="auto"/>
        <w:rPr>
          <w:sz w:val="20"/>
          <w:szCs w:val="20"/>
        </w:rPr>
      </w:pPr>
      <w:r w:rsidRPr="00B61E15">
        <w:rPr>
          <w:sz w:val="20"/>
          <w:szCs w:val="20"/>
          <w:vertAlign w:val="superscript"/>
        </w:rPr>
        <w:footnoteRef/>
      </w:r>
      <w:r w:rsidRPr="00B61E15">
        <w:rPr>
          <w:sz w:val="20"/>
          <w:szCs w:val="20"/>
        </w:rPr>
        <w:t xml:space="preserve"> </w:t>
      </w:r>
      <w:hyperlink r:id="rId59">
        <w:r w:rsidRPr="00B61E15">
          <w:rPr>
            <w:color w:val="1155CC"/>
            <w:sz w:val="20"/>
            <w:szCs w:val="20"/>
            <w:u w:val="single"/>
          </w:rPr>
          <w:t>https://www.cccco.edu/-/media/CCCCO-Website/docs/memo/ESLEI-2415-AB-1705-Validation-of-Equitable-Placement-Support-and-Completion-Practices-for-STEM-Progr.pdf?la=en&amp;hash=60D9524BAD2695B8D34252BFFDA8CF8F4805F197</w:t>
        </w:r>
      </w:hyperlink>
    </w:p>
  </w:footnote>
  <w:footnote w:id="60">
    <w:p w14:paraId="4C38D0C9" w14:textId="3D78ACA5" w:rsidR="00DC6803" w:rsidRPr="00B61E15" w:rsidRDefault="00DC6803" w:rsidP="003C562B">
      <w:pPr>
        <w:spacing w:after="0" w:line="240" w:lineRule="auto"/>
        <w:rPr>
          <w:sz w:val="20"/>
          <w:szCs w:val="20"/>
        </w:rPr>
      </w:pPr>
      <w:r w:rsidRPr="00B25D1F">
        <w:rPr>
          <w:sz w:val="20"/>
          <w:szCs w:val="20"/>
          <w:vertAlign w:val="superscript"/>
        </w:rPr>
        <w:footnoteRef/>
      </w:r>
      <w:r w:rsidR="00B25D1F" w:rsidRPr="00B25D1F">
        <w:rPr>
          <w:sz w:val="20"/>
          <w:szCs w:val="20"/>
        </w:rPr>
        <w:t xml:space="preserve"> </w:t>
      </w:r>
      <w:r w:rsidR="00B25D1F">
        <w:rPr>
          <w:sz w:val="20"/>
          <w:szCs w:val="20"/>
        </w:rPr>
        <w:t xml:space="preserve">Title 5 </w:t>
      </w:r>
      <w:r w:rsidR="00B25D1F">
        <w:rPr>
          <w:rFonts w:cstheme="minorHAnsi"/>
          <w:sz w:val="20"/>
          <w:szCs w:val="20"/>
        </w:rPr>
        <w:t>§</w:t>
      </w:r>
      <w:r w:rsidR="00B25D1F">
        <w:rPr>
          <w:sz w:val="20"/>
          <w:szCs w:val="20"/>
        </w:rPr>
        <w:t xml:space="preserve">53200: </w:t>
      </w:r>
      <w:hyperlink r:id="rId60" w:history="1">
        <w:r w:rsidR="00682A22" w:rsidRPr="00A421D9">
          <w:rPr>
            <w:rStyle w:val="Hyperlink"/>
            <w:sz w:val="20"/>
            <w:szCs w:val="20"/>
          </w:rPr>
          <w:t>https://govt.westlaw.com/calregs/Document/I604256434C6911EC93A8000D3A7C4BC3?viewType=FullText&amp;originationContext=documenttoc&amp;transitionType=CategoryPageItem&amp;contextData=(sc.Default)</w:t>
        </w:r>
      </w:hyperlink>
    </w:p>
  </w:footnote>
  <w:footnote w:id="61">
    <w:p w14:paraId="3AAE833D" w14:textId="77777777" w:rsidR="00DC6803" w:rsidRDefault="00DC6803" w:rsidP="003C562B">
      <w:pPr>
        <w:spacing w:after="0" w:line="240" w:lineRule="auto"/>
        <w:rPr>
          <w:sz w:val="20"/>
          <w:szCs w:val="20"/>
        </w:rPr>
      </w:pPr>
      <w:r w:rsidRPr="00B61E15">
        <w:rPr>
          <w:sz w:val="20"/>
          <w:szCs w:val="20"/>
          <w:vertAlign w:val="superscript"/>
        </w:rPr>
        <w:footnoteRef/>
      </w:r>
      <w:r w:rsidRPr="00B61E15">
        <w:rPr>
          <w:sz w:val="20"/>
          <w:szCs w:val="20"/>
        </w:rPr>
        <w:t xml:space="preserve"> </w:t>
      </w:r>
      <w:hyperlink r:id="rId61">
        <w:r w:rsidRPr="00B61E15">
          <w:rPr>
            <w:color w:val="1155CC"/>
            <w:sz w:val="20"/>
            <w:szCs w:val="20"/>
            <w:u w:val="single"/>
          </w:rPr>
          <w:t>https://www.cccco.edu/-/media/CCCCO-Website/docs/procedures-standing-orders/december-2022-procedures-standing-ordersv2-a11y.pdf?la=en&amp;hash=FF692A0AE8ACC8FE6BB2A4D75018302005A8A4D6</w:t>
        </w:r>
      </w:hyperlink>
    </w:p>
  </w:footnote>
  <w:footnote w:id="62">
    <w:p w14:paraId="2311D7A1" w14:textId="5AB1CA84" w:rsidR="004761F2" w:rsidRPr="00B61E15" w:rsidRDefault="004761F2" w:rsidP="004761F2">
      <w:pPr>
        <w:pStyle w:val="FootnoteText"/>
      </w:pPr>
      <w:r w:rsidRPr="00B61E15">
        <w:rPr>
          <w:rStyle w:val="FootnoteReference"/>
        </w:rPr>
        <w:footnoteRef/>
      </w:r>
      <w:r w:rsidRPr="00B61E15">
        <w:t xml:space="preserve"> </w:t>
      </w:r>
      <w:hyperlink r:id="rId62" w:history="1">
        <w:r w:rsidR="00982168" w:rsidRPr="00A421D9">
          <w:rPr>
            <w:rStyle w:val="Hyperlink"/>
          </w:rPr>
          <w:t>https://map.rccd.edu/about/</w:t>
        </w:r>
      </w:hyperlink>
    </w:p>
  </w:footnote>
  <w:footnote w:id="63">
    <w:p w14:paraId="7E89F089" w14:textId="77777777" w:rsidR="004761F2" w:rsidRPr="00B61E15" w:rsidRDefault="004761F2" w:rsidP="004761F2">
      <w:pPr>
        <w:pStyle w:val="FootnoteText"/>
      </w:pPr>
      <w:r w:rsidRPr="00B61E15">
        <w:rPr>
          <w:rStyle w:val="FootnoteReference"/>
        </w:rPr>
        <w:footnoteRef/>
      </w:r>
      <w:r w:rsidRPr="00B61E15">
        <w:t xml:space="preserve"> </w:t>
      </w:r>
      <w:hyperlink r:id="rId63" w:history="1">
        <w:r w:rsidRPr="00B61E15">
          <w:rPr>
            <w:rStyle w:val="Hyperlink"/>
            <w:rFonts w:eastAsiaTheme="majorEastAsia"/>
          </w:rPr>
          <w:t>https://www.asccc.org/rostrum-reader/2024/February</w:t>
        </w:r>
      </w:hyperlink>
    </w:p>
  </w:footnote>
  <w:footnote w:id="64">
    <w:p w14:paraId="0CDDA8B1" w14:textId="77777777" w:rsidR="004761F2" w:rsidRPr="00B61E15" w:rsidRDefault="004761F2" w:rsidP="004761F2">
      <w:pPr>
        <w:pStyle w:val="FootnoteText"/>
        <w:rPr>
          <w:color w:val="0563C1" w:themeColor="hyperlink"/>
          <w:u w:val="single"/>
        </w:rPr>
      </w:pPr>
      <w:r w:rsidRPr="00B61E15">
        <w:rPr>
          <w:rStyle w:val="FootnoteReference"/>
        </w:rPr>
        <w:footnoteRef/>
      </w:r>
      <w:r w:rsidRPr="00B61E15">
        <w:t xml:space="preserve"> </w:t>
      </w:r>
      <w:hyperlink r:id="rId64" w:history="1">
        <w:r w:rsidRPr="00B61E15">
          <w:rPr>
            <w:rStyle w:val="Hyperlink"/>
            <w:rFonts w:eastAsiaTheme="majorEastAsia"/>
          </w:rPr>
          <w:t>https://asccc.org/resolutions/allowing-use-credit-prior-learning-cal-getc</w:t>
        </w:r>
      </w:hyperlink>
    </w:p>
  </w:footnote>
  <w:footnote w:id="65">
    <w:p w14:paraId="2E9D3796" w14:textId="77777777" w:rsidR="004761F2" w:rsidRPr="00B61E15" w:rsidRDefault="004761F2" w:rsidP="004761F2">
      <w:pPr>
        <w:pStyle w:val="FootnoteText"/>
        <w:rPr>
          <w:color w:val="0563C1" w:themeColor="hyperlink"/>
          <w:u w:val="single"/>
        </w:rPr>
      </w:pPr>
      <w:r w:rsidRPr="00B61E15">
        <w:rPr>
          <w:rStyle w:val="FootnoteReference"/>
        </w:rPr>
        <w:footnoteRef/>
      </w:r>
      <w:r w:rsidRPr="00B61E15">
        <w:t xml:space="preserve"> </w:t>
      </w:r>
      <w:hyperlink r:id="rId65" w:history="1">
        <w:r w:rsidRPr="00B61E15">
          <w:rPr>
            <w:rStyle w:val="Hyperlink"/>
            <w:rFonts w:eastAsiaTheme="majorEastAsia"/>
          </w:rPr>
          <w:t>https://asccc.org/resolutions/review-credit-prior-learning-regulations</w:t>
        </w:r>
      </w:hyperlink>
    </w:p>
  </w:footnote>
  <w:footnote w:id="66">
    <w:p w14:paraId="606A528D" w14:textId="77777777" w:rsidR="004761F2" w:rsidRPr="00B61E15" w:rsidRDefault="004761F2" w:rsidP="004761F2">
      <w:pPr>
        <w:pStyle w:val="FootnoteText"/>
      </w:pPr>
      <w:r w:rsidRPr="00B61E15">
        <w:rPr>
          <w:rStyle w:val="FootnoteReference"/>
        </w:rPr>
        <w:footnoteRef/>
      </w:r>
      <w:r w:rsidRPr="00B61E15">
        <w:t xml:space="preserve"> </w:t>
      </w:r>
      <w:hyperlink r:id="rId66" w:history="1">
        <w:r w:rsidRPr="00B61E15">
          <w:rPr>
            <w:rStyle w:val="Hyperlink"/>
            <w:rFonts w:eastAsiaTheme="majorEastAsia"/>
          </w:rPr>
          <w:t>https://asccc.org/resolutions/awarding-credit-prior-learning-experience</w:t>
        </w:r>
      </w:hyperlink>
    </w:p>
  </w:footnote>
  <w:footnote w:id="67">
    <w:p w14:paraId="69EDDBFD" w14:textId="1D4A78E0" w:rsidR="004761F2" w:rsidRDefault="004761F2" w:rsidP="004761F2">
      <w:pPr>
        <w:pStyle w:val="FootnoteText"/>
      </w:pPr>
      <w:r w:rsidRPr="00B61E15">
        <w:rPr>
          <w:rStyle w:val="FootnoteReference"/>
        </w:rPr>
        <w:footnoteRef/>
      </w:r>
      <w:r w:rsidRPr="00B61E15">
        <w:t xml:space="preserve"> </w:t>
      </w:r>
      <w:hyperlink r:id="rId67" w:history="1">
        <w:r w:rsidR="00333FBD" w:rsidRPr="00A421D9">
          <w:rPr>
            <w:rStyle w:val="Hyperlink"/>
          </w:rPr>
          <w:t>https://asccc.org/resolutions/academic-credit-veterans-and-military-service-members</w:t>
        </w:r>
      </w:hyperlink>
    </w:p>
  </w:footnote>
  <w:footnote w:id="68">
    <w:p w14:paraId="5656CBC9" w14:textId="77777777" w:rsidR="00DC3E70" w:rsidRPr="00F80666" w:rsidRDefault="00DC3E70" w:rsidP="00DC3E70">
      <w:pPr>
        <w:pStyle w:val="FootnoteText"/>
        <w:rPr>
          <w:rFonts w:cstheme="minorHAnsi"/>
        </w:rPr>
      </w:pPr>
      <w:r w:rsidRPr="00F80666">
        <w:rPr>
          <w:rStyle w:val="FootnoteReference"/>
          <w:rFonts w:cstheme="minorHAnsi"/>
        </w:rPr>
        <w:footnoteRef/>
      </w:r>
      <w:r w:rsidRPr="00F80666">
        <w:rPr>
          <w:rFonts w:cstheme="minorHAnsi"/>
        </w:rPr>
        <w:t xml:space="preserve"> </w:t>
      </w:r>
      <w:hyperlink r:id="rId68" w:history="1">
        <w:r w:rsidRPr="00F80666">
          <w:rPr>
            <w:rStyle w:val="Hyperlink"/>
            <w:rFonts w:cstheme="minorHAnsi"/>
          </w:rPr>
          <w:t>https://www.insidehighered.com/news/institutions/community-colleges/2023/07/07/online-learning-still-high-demand-community</w:t>
        </w:r>
      </w:hyperlink>
      <w:r w:rsidRPr="00F80666">
        <w:rPr>
          <w:rFonts w:cstheme="minorHAnsi"/>
        </w:rPr>
        <w:t xml:space="preserve"> </w:t>
      </w:r>
    </w:p>
  </w:footnote>
  <w:footnote w:id="69">
    <w:p w14:paraId="5AD4BA2E" w14:textId="1A556054" w:rsidR="00DC3E70" w:rsidRPr="00F80666" w:rsidRDefault="00DC3E70" w:rsidP="00DC3E70">
      <w:pPr>
        <w:pStyle w:val="FootnoteText"/>
        <w:rPr>
          <w:rFonts w:cstheme="minorHAnsi"/>
          <w:color w:val="000000" w:themeColor="text1"/>
        </w:rPr>
      </w:pPr>
      <w:r w:rsidRPr="00F80666">
        <w:rPr>
          <w:rStyle w:val="FootnoteReference"/>
          <w:rFonts w:cstheme="minorHAnsi"/>
        </w:rPr>
        <w:footnoteRef/>
      </w:r>
      <w:r w:rsidRPr="00F80666">
        <w:rPr>
          <w:rFonts w:cstheme="minorHAnsi"/>
        </w:rPr>
        <w:t xml:space="preserve"> </w:t>
      </w:r>
      <w:r w:rsidRPr="00F80666">
        <w:rPr>
          <w:rFonts w:cstheme="minorHAnsi"/>
          <w:color w:val="000000" w:themeColor="text1"/>
        </w:rPr>
        <w:t>C</w:t>
      </w:r>
      <w:r w:rsidR="0039535B">
        <w:rPr>
          <w:rFonts w:cstheme="minorHAnsi"/>
          <w:color w:val="000000" w:themeColor="text1"/>
        </w:rPr>
        <w:t>ode of Federal Regulations</w:t>
      </w:r>
      <w:r w:rsidRPr="00F80666">
        <w:rPr>
          <w:rFonts w:cstheme="minorHAnsi"/>
          <w:color w:val="000000" w:themeColor="text1"/>
        </w:rPr>
        <w:t xml:space="preserve"> 34 600</w:t>
      </w:r>
      <w:r w:rsidR="0039535B">
        <w:rPr>
          <w:rFonts w:cstheme="minorHAnsi"/>
          <w:color w:val="000000" w:themeColor="text1"/>
        </w:rPr>
        <w:t xml:space="preserve">: </w:t>
      </w:r>
      <w:hyperlink r:id="rId69" w:history="1">
        <w:r w:rsidR="0039535B" w:rsidRPr="00A421D9">
          <w:rPr>
            <w:rStyle w:val="Hyperlink"/>
            <w:rFonts w:cstheme="minorHAnsi"/>
          </w:rPr>
          <w:t>https://www.ecfr.gov/current/title-34/subtitle-B/chapter-VI/part-600</w:t>
        </w:r>
      </w:hyperlink>
      <w:r w:rsidR="0039535B">
        <w:rPr>
          <w:rFonts w:cstheme="minorHAnsi"/>
          <w:color w:val="000000" w:themeColor="text1"/>
        </w:rPr>
        <w:t>;</w:t>
      </w:r>
      <w:r w:rsidRPr="00F80666">
        <w:rPr>
          <w:rFonts w:cstheme="minorHAnsi"/>
          <w:color w:val="000000" w:themeColor="text1"/>
        </w:rPr>
        <w:t xml:space="preserve"> 602</w:t>
      </w:r>
      <w:r w:rsidR="0039535B">
        <w:rPr>
          <w:rFonts w:cstheme="minorHAnsi"/>
          <w:color w:val="000000" w:themeColor="text1"/>
        </w:rPr>
        <w:t xml:space="preserve">: </w:t>
      </w:r>
      <w:hyperlink r:id="rId70" w:history="1">
        <w:r w:rsidR="0039535B" w:rsidRPr="00A421D9">
          <w:rPr>
            <w:rStyle w:val="Hyperlink"/>
            <w:rFonts w:cstheme="minorHAnsi"/>
          </w:rPr>
          <w:t>https://www.ecfr.gov/current/title-34/subtitle-B/chapter-VI/part-602</w:t>
        </w:r>
      </w:hyperlink>
      <w:r w:rsidR="0039535B">
        <w:rPr>
          <w:rFonts w:cstheme="minorHAnsi"/>
          <w:color w:val="000000" w:themeColor="text1"/>
        </w:rPr>
        <w:t>;</w:t>
      </w:r>
      <w:r w:rsidRPr="00F80666">
        <w:rPr>
          <w:rFonts w:cstheme="minorHAnsi"/>
          <w:color w:val="000000" w:themeColor="text1"/>
        </w:rPr>
        <w:t xml:space="preserve"> and 608</w:t>
      </w:r>
      <w:r w:rsidR="0039535B">
        <w:rPr>
          <w:rFonts w:cstheme="minorHAnsi"/>
          <w:color w:val="000000" w:themeColor="text1"/>
        </w:rPr>
        <w:t xml:space="preserve">: </w:t>
      </w:r>
      <w:hyperlink r:id="rId71" w:history="1">
        <w:r w:rsidR="00752B9C" w:rsidRPr="00A421D9">
          <w:rPr>
            <w:rStyle w:val="Hyperlink"/>
            <w:rFonts w:cstheme="minorHAnsi"/>
          </w:rPr>
          <w:t>https://www.ecfr.gov/current/title-34/subtitle-B/chapter-VI/part-608</w:t>
        </w:r>
      </w:hyperlink>
    </w:p>
  </w:footnote>
  <w:footnote w:id="70">
    <w:p w14:paraId="2DF76096" w14:textId="465F8B28" w:rsidR="00DC3E70" w:rsidRPr="00F80666" w:rsidRDefault="00DC3E70" w:rsidP="00DC3E70">
      <w:pPr>
        <w:pStyle w:val="FootnoteText"/>
        <w:rPr>
          <w:rFonts w:cstheme="minorHAnsi"/>
        </w:rPr>
      </w:pPr>
      <w:r w:rsidRPr="00F80666">
        <w:rPr>
          <w:rStyle w:val="FootnoteReference"/>
          <w:rFonts w:cstheme="minorHAnsi"/>
        </w:rPr>
        <w:footnoteRef/>
      </w:r>
      <w:r w:rsidRPr="00F80666">
        <w:rPr>
          <w:rFonts w:cstheme="minorHAnsi"/>
        </w:rPr>
        <w:t xml:space="preserve"> </w:t>
      </w:r>
      <w:r w:rsidRPr="00F80666">
        <w:rPr>
          <w:rFonts w:cstheme="minorHAnsi"/>
          <w:color w:val="000000" w:themeColor="text1"/>
        </w:rPr>
        <w:t>Title 5 Sections 53200</w:t>
      </w:r>
      <w:r w:rsidR="008E1C40">
        <w:rPr>
          <w:rFonts w:cstheme="minorHAnsi"/>
          <w:color w:val="000000" w:themeColor="text1"/>
        </w:rPr>
        <w:t xml:space="preserve">: </w:t>
      </w:r>
      <w:hyperlink r:id="rId72" w:history="1">
        <w:r w:rsidR="008E1C40" w:rsidRPr="00A421D9">
          <w:rPr>
            <w:rStyle w:val="Hyperlink"/>
            <w:rFonts w:cstheme="minorHAnsi"/>
          </w:rPr>
          <w:t>https://govt.westlaw.com/calregs/Document/I604256434C6911EC93A8000D3A7C4BC3?viewType=FullText&amp;originationContext=documenttoc&amp;transitionType=CategoryPageItem&amp;contextData=(sc.Default)</w:t>
        </w:r>
      </w:hyperlink>
      <w:r w:rsidR="008E1C40">
        <w:rPr>
          <w:rFonts w:cstheme="minorHAnsi"/>
          <w:color w:val="000000" w:themeColor="text1"/>
        </w:rPr>
        <w:t>;</w:t>
      </w:r>
      <w:r w:rsidRPr="00F80666">
        <w:rPr>
          <w:rFonts w:cstheme="minorHAnsi"/>
          <w:color w:val="000000" w:themeColor="text1"/>
        </w:rPr>
        <w:t xml:space="preserve"> 55005</w:t>
      </w:r>
      <w:r w:rsidR="008E1C40">
        <w:rPr>
          <w:rFonts w:cstheme="minorHAnsi"/>
          <w:color w:val="000000" w:themeColor="text1"/>
        </w:rPr>
        <w:t xml:space="preserve">: </w:t>
      </w:r>
      <w:hyperlink r:id="rId73" w:history="1">
        <w:r w:rsidR="008E1C40" w:rsidRPr="00A421D9">
          <w:rPr>
            <w:rStyle w:val="Hyperlink"/>
            <w:rFonts w:cstheme="minorHAnsi"/>
          </w:rPr>
          <w:t>https://govt.westlaw.com/calregs/Document/ID916E8E056B511ED9336FE00FB183132?viewType=FullText&amp;originationContext=documenttoc&amp;transitionType=CategoryPageItem&amp;contextData=(sc.Default)</w:t>
        </w:r>
      </w:hyperlink>
      <w:r w:rsidR="008E1C40">
        <w:rPr>
          <w:rFonts w:cstheme="minorHAnsi"/>
          <w:color w:val="000000" w:themeColor="text1"/>
        </w:rPr>
        <w:t>;</w:t>
      </w:r>
      <w:r w:rsidRPr="00F80666">
        <w:rPr>
          <w:rFonts w:cstheme="minorHAnsi"/>
          <w:color w:val="000000" w:themeColor="text1"/>
        </w:rPr>
        <w:t xml:space="preserve"> 55200</w:t>
      </w:r>
      <w:r w:rsidR="00B0784A">
        <w:rPr>
          <w:rFonts w:cstheme="minorHAnsi"/>
          <w:color w:val="000000" w:themeColor="text1"/>
        </w:rPr>
        <w:t xml:space="preserve">: </w:t>
      </w:r>
      <w:hyperlink r:id="rId74" w:history="1">
        <w:r w:rsidR="00B0784A" w:rsidRPr="00A421D9">
          <w:rPr>
            <w:rStyle w:val="Hyperlink"/>
            <w:rFonts w:cstheme="minorHAnsi"/>
          </w:rPr>
          <w:t>https://govt.westlaw.com/calregs/Document/IE381D74056B511ED9336FE00FB183132?viewType=FullText&amp;originationContext=documenttoc&amp;transitionType=CategoryPageItem&amp;contextData=(sc.Default)</w:t>
        </w:r>
      </w:hyperlink>
      <w:r w:rsidR="00B0784A">
        <w:rPr>
          <w:rFonts w:cstheme="minorHAnsi"/>
          <w:color w:val="000000" w:themeColor="text1"/>
        </w:rPr>
        <w:t>;</w:t>
      </w:r>
      <w:r w:rsidRPr="00F80666">
        <w:rPr>
          <w:rFonts w:cstheme="minorHAnsi"/>
          <w:color w:val="000000" w:themeColor="text1"/>
        </w:rPr>
        <w:t xml:space="preserve"> 55202</w:t>
      </w:r>
      <w:r w:rsidR="00791455">
        <w:rPr>
          <w:rFonts w:cstheme="minorHAnsi"/>
          <w:color w:val="000000" w:themeColor="text1"/>
        </w:rPr>
        <w:t xml:space="preserve">: </w:t>
      </w:r>
      <w:hyperlink r:id="rId75" w:history="1">
        <w:r w:rsidR="00791455" w:rsidRPr="00A421D9">
          <w:rPr>
            <w:rStyle w:val="Hyperlink"/>
            <w:rFonts w:cstheme="minorHAnsi"/>
          </w:rPr>
          <w:t>https://govt.westlaw.com/calregs/Document/I639922634C6911EC93A8000D3A7C4BC3?viewType=FullText&amp;originationContext=documenttoc&amp;transitionType=CategoryPageItem&amp;contextData=(sc.Default)</w:t>
        </w:r>
      </w:hyperlink>
      <w:r w:rsidR="00791455">
        <w:rPr>
          <w:rFonts w:cstheme="minorHAnsi"/>
          <w:color w:val="000000" w:themeColor="text1"/>
        </w:rPr>
        <w:t>;</w:t>
      </w:r>
      <w:r w:rsidRPr="00F80666">
        <w:rPr>
          <w:rFonts w:cstheme="minorHAnsi"/>
          <w:color w:val="000000" w:themeColor="text1"/>
        </w:rPr>
        <w:t xml:space="preserve"> 55204</w:t>
      </w:r>
      <w:r w:rsidR="00791455">
        <w:rPr>
          <w:rFonts w:cstheme="minorHAnsi"/>
          <w:color w:val="000000" w:themeColor="text1"/>
        </w:rPr>
        <w:t>:</w:t>
      </w:r>
      <w:r w:rsidR="002E33E6">
        <w:rPr>
          <w:rFonts w:cstheme="minorHAnsi"/>
          <w:color w:val="000000" w:themeColor="text1"/>
        </w:rPr>
        <w:t xml:space="preserve"> </w:t>
      </w:r>
      <w:hyperlink r:id="rId76" w:history="1">
        <w:r w:rsidR="002E33E6" w:rsidRPr="00A421D9">
          <w:rPr>
            <w:rStyle w:val="Hyperlink"/>
            <w:rFonts w:cstheme="minorHAnsi"/>
          </w:rPr>
          <w:t>https://govt.westlaw.com/calregs/Document/I252271C0698311ED9432FA58BC52C333?viewType=FullText&amp;originationContext=documenttoc&amp;transitionType=CategoryPageItem&amp;contextData=(sc.Default)</w:t>
        </w:r>
      </w:hyperlink>
      <w:r w:rsidR="002E33E6">
        <w:rPr>
          <w:rFonts w:cstheme="minorHAnsi"/>
          <w:color w:val="000000" w:themeColor="text1"/>
        </w:rPr>
        <w:t>;</w:t>
      </w:r>
      <w:r w:rsidRPr="00F80666">
        <w:rPr>
          <w:rFonts w:cstheme="minorHAnsi"/>
          <w:color w:val="000000" w:themeColor="text1"/>
        </w:rPr>
        <w:t xml:space="preserve"> 55206</w:t>
      </w:r>
      <w:r w:rsidR="001F0E22">
        <w:rPr>
          <w:rFonts w:cstheme="minorHAnsi"/>
          <w:color w:val="000000" w:themeColor="text1"/>
        </w:rPr>
        <w:t xml:space="preserve">: </w:t>
      </w:r>
      <w:hyperlink r:id="rId77" w:history="1">
        <w:r w:rsidR="001F0E22" w:rsidRPr="00A421D9">
          <w:rPr>
            <w:rStyle w:val="Hyperlink"/>
            <w:rFonts w:cstheme="minorHAnsi"/>
          </w:rPr>
          <w:t>https://govt.westlaw.com/calregs/Document/IE27A796056B511ED9336FE00FB183132?viewType=FullText&amp;originationContext=documenttoc&amp;transitionType=CategoryPageItem&amp;contextData=(sc.Default)</w:t>
        </w:r>
      </w:hyperlink>
      <w:r w:rsidR="001F0E22">
        <w:rPr>
          <w:rFonts w:cstheme="minorHAnsi"/>
          <w:color w:val="000000" w:themeColor="text1"/>
        </w:rPr>
        <w:t>;</w:t>
      </w:r>
      <w:r w:rsidRPr="00F80666">
        <w:rPr>
          <w:rFonts w:cstheme="minorHAnsi"/>
          <w:color w:val="000000" w:themeColor="text1"/>
        </w:rPr>
        <w:t xml:space="preserve"> </w:t>
      </w:r>
      <w:r w:rsidR="0039535B">
        <w:rPr>
          <w:rFonts w:cstheme="minorHAnsi"/>
          <w:color w:val="000000" w:themeColor="text1"/>
        </w:rPr>
        <w:t xml:space="preserve">and </w:t>
      </w:r>
      <w:r w:rsidRPr="00F80666">
        <w:rPr>
          <w:rFonts w:cstheme="minorHAnsi"/>
          <w:color w:val="000000" w:themeColor="text1"/>
        </w:rPr>
        <w:t>55208</w:t>
      </w:r>
      <w:r w:rsidR="00F068F8">
        <w:rPr>
          <w:rFonts w:cstheme="minorHAnsi"/>
          <w:color w:val="000000" w:themeColor="text1"/>
        </w:rPr>
        <w:t xml:space="preserve">: </w:t>
      </w:r>
      <w:hyperlink r:id="rId78" w:history="1">
        <w:r w:rsidR="00F068F8" w:rsidRPr="00A421D9">
          <w:rPr>
            <w:rStyle w:val="Hyperlink"/>
            <w:rFonts w:cstheme="minorHAnsi"/>
          </w:rPr>
          <w:t>https://govt.westlaw.com/calregs/Document/IE6ECC7A056B511ED8118D68F0A50B737?viewType=FullText&amp;originationContext=documenttoc&amp;transitionType=CategoryPageItem&amp;contextData=(sc.Default)</w:t>
        </w:r>
      </w:hyperlink>
    </w:p>
  </w:footnote>
  <w:footnote w:id="71">
    <w:p w14:paraId="06412739" w14:textId="77777777" w:rsidR="00DC3E70" w:rsidRPr="00F80666" w:rsidRDefault="00DC3E70" w:rsidP="00DC3E70">
      <w:pPr>
        <w:pStyle w:val="FootnoteText"/>
        <w:rPr>
          <w:rFonts w:cstheme="minorHAnsi"/>
        </w:rPr>
      </w:pPr>
      <w:r w:rsidRPr="00F80666">
        <w:rPr>
          <w:rStyle w:val="FootnoteReference"/>
          <w:rFonts w:cstheme="minorHAnsi"/>
        </w:rPr>
        <w:footnoteRef/>
      </w:r>
      <w:r w:rsidRPr="00F80666">
        <w:rPr>
          <w:rFonts w:cstheme="minorHAnsi"/>
        </w:rPr>
        <w:t xml:space="preserve"> </w:t>
      </w:r>
      <w:hyperlink r:id="rId79" w:history="1">
        <w:r w:rsidRPr="00F80666">
          <w:rPr>
            <w:rStyle w:val="Hyperlink"/>
            <w:rFonts w:cstheme="minorHAnsi"/>
          </w:rPr>
          <w:t>https://www.asccc.org/10_1</w:t>
        </w:r>
      </w:hyperlink>
      <w:r w:rsidRPr="00F80666">
        <w:rPr>
          <w:rFonts w:cstheme="minorHAnsi"/>
        </w:rPr>
        <w:t xml:space="preserve"> </w:t>
      </w:r>
    </w:p>
  </w:footnote>
  <w:footnote w:id="72">
    <w:p w14:paraId="0C8A6930" w14:textId="15AD5629" w:rsidR="00DC3E70" w:rsidRDefault="00DC3E70" w:rsidP="00DC3E70">
      <w:pPr>
        <w:pStyle w:val="FootnoteText"/>
      </w:pPr>
      <w:r w:rsidRPr="00F80666">
        <w:rPr>
          <w:rStyle w:val="FootnoteReference"/>
          <w:rFonts w:cstheme="minorHAnsi"/>
        </w:rPr>
        <w:footnoteRef/>
      </w:r>
      <w:r w:rsidRPr="00F80666">
        <w:rPr>
          <w:rFonts w:cstheme="minorHAnsi"/>
        </w:rPr>
        <w:t xml:space="preserve"> </w:t>
      </w:r>
      <w:r w:rsidR="007C00EC">
        <w:rPr>
          <w:rFonts w:cstheme="minorHAnsi"/>
        </w:rPr>
        <w:t xml:space="preserve">Title 5 §53200: </w:t>
      </w:r>
      <w:hyperlink r:id="rId80" w:history="1">
        <w:r w:rsidR="007C00EC" w:rsidRPr="00A421D9">
          <w:rPr>
            <w:rStyle w:val="Hyperlink"/>
            <w:rFonts w:cstheme="minorHAnsi"/>
          </w:rPr>
          <w:t>https://govt.westlaw.com/calregs/Document/I604256434C6911EC93A8000D3A7C4BC3?viewType=FullText&amp;originationContext=documenttoc&amp;transitionType=CategoryPageItem&amp;contextData=(sc.Default)</w:t>
        </w:r>
      </w:hyperlink>
      <w:r>
        <w:t xml:space="preserve"> </w:t>
      </w:r>
    </w:p>
  </w:footnote>
  <w:footnote w:id="73">
    <w:p w14:paraId="1D7400E9" w14:textId="77777777" w:rsidR="001A6DEA" w:rsidRPr="00652948" w:rsidRDefault="001A6DEA" w:rsidP="001A6DEA">
      <w:pPr>
        <w:pStyle w:val="FootnoteText"/>
        <w:rPr>
          <w:rFonts w:cstheme="minorHAnsi"/>
        </w:rPr>
      </w:pPr>
      <w:r w:rsidRPr="00652948">
        <w:rPr>
          <w:rStyle w:val="FootnoteReference"/>
          <w:rFonts w:cstheme="minorHAnsi"/>
        </w:rPr>
        <w:footnoteRef/>
      </w:r>
      <w:r w:rsidRPr="00652948">
        <w:rPr>
          <w:rFonts w:cstheme="minorHAnsi"/>
        </w:rPr>
        <w:t xml:space="preserve"> </w:t>
      </w:r>
      <w:hyperlink r:id="rId81" w:history="1">
        <w:r w:rsidRPr="00652948">
          <w:rPr>
            <w:rStyle w:val="Hyperlink"/>
            <w:rFonts w:eastAsiaTheme="majorEastAsia" w:cstheme="minorHAnsi"/>
          </w:rPr>
          <w:t>https://www.asccc.org/resolutions/create-paper-part-time-faculty-equity</w:t>
        </w:r>
      </w:hyperlink>
      <w:r w:rsidRPr="00652948">
        <w:rPr>
          <w:rFonts w:cstheme="minorHAnsi"/>
        </w:rPr>
        <w:t xml:space="preserve"> </w:t>
      </w:r>
    </w:p>
  </w:footnote>
  <w:footnote w:id="74">
    <w:p w14:paraId="06539DAD" w14:textId="77777777" w:rsidR="001A6DEA" w:rsidRPr="00757361" w:rsidRDefault="001A6DEA" w:rsidP="001A6DEA">
      <w:pPr>
        <w:pStyle w:val="FootnoteText"/>
        <w:rPr>
          <w:rFonts w:cstheme="minorHAnsi"/>
        </w:rPr>
      </w:pPr>
      <w:r>
        <w:rPr>
          <w:rStyle w:val="FootnoteReference"/>
        </w:rPr>
        <w:footnoteRef/>
      </w:r>
      <w:r>
        <w:t xml:space="preserve"> </w:t>
      </w:r>
      <w:hyperlink r:id="rId82" w:history="1">
        <w:r w:rsidRPr="00E22D4A">
          <w:rPr>
            <w:rStyle w:val="Hyperlink"/>
            <w:rFonts w:cstheme="minorHAnsi"/>
          </w:rPr>
          <w:t>https://asccc.org/sites/default/files/2024-03/Part-time%20Faculty%20Equity%2C%20Rights%2C%20and%20Roles%20in%20Governance%20%20ca.docx</w:t>
        </w:r>
      </w:hyperlink>
    </w:p>
  </w:footnote>
  <w:footnote w:id="75">
    <w:p w14:paraId="21CFAC5F" w14:textId="77777777" w:rsidR="00532F15" w:rsidRDefault="00532F15" w:rsidP="00532F15">
      <w:pPr>
        <w:spacing w:after="0" w:line="240" w:lineRule="auto"/>
        <w:rPr>
          <w:sz w:val="20"/>
          <w:szCs w:val="20"/>
        </w:rPr>
      </w:pPr>
      <w:r>
        <w:rPr>
          <w:vertAlign w:val="superscript"/>
        </w:rPr>
        <w:footnoteRef/>
      </w:r>
      <w:r>
        <w:rPr>
          <w:sz w:val="20"/>
          <w:szCs w:val="20"/>
        </w:rPr>
        <w:t xml:space="preserve"> Academic Senate for California Community Colleges </w:t>
      </w:r>
      <w:hyperlink r:id="rId83">
        <w:r>
          <w:rPr>
            <w:color w:val="0000FF"/>
            <w:sz w:val="20"/>
            <w:szCs w:val="20"/>
            <w:u w:val="single"/>
          </w:rPr>
          <w:t>https://www.asccc.org/</w:t>
        </w:r>
      </w:hyperlink>
    </w:p>
  </w:footnote>
  <w:footnote w:id="76">
    <w:p w14:paraId="3714798D" w14:textId="5A0446E8" w:rsidR="00532F15" w:rsidRDefault="00532F15" w:rsidP="00532F15">
      <w:pPr>
        <w:spacing w:after="0" w:line="240" w:lineRule="auto"/>
        <w:rPr>
          <w:sz w:val="20"/>
          <w:szCs w:val="20"/>
        </w:rPr>
      </w:pPr>
      <w:r>
        <w:rPr>
          <w:vertAlign w:val="superscript"/>
        </w:rPr>
        <w:footnoteRef/>
      </w:r>
      <w:r>
        <w:rPr>
          <w:sz w:val="20"/>
          <w:szCs w:val="20"/>
        </w:rPr>
        <w:t xml:space="preserve"> ASCCC Position Paper </w:t>
      </w:r>
      <w:r w:rsidRPr="00D57123">
        <w:rPr>
          <w:i/>
          <w:iCs/>
          <w:sz w:val="20"/>
          <w:szCs w:val="20"/>
        </w:rPr>
        <w:t>Protecting the Future of Academic Freedom During a Time of Significant Change</w:t>
      </w:r>
      <w:r>
        <w:rPr>
          <w:sz w:val="20"/>
          <w:szCs w:val="20"/>
        </w:rPr>
        <w:t xml:space="preserve"> </w:t>
      </w:r>
      <w:hyperlink r:id="rId84">
        <w:r>
          <w:rPr>
            <w:color w:val="0000FF"/>
            <w:sz w:val="20"/>
            <w:szCs w:val="20"/>
            <w:u w:val="single"/>
          </w:rPr>
          <w:t>https://www.asccc.org/sites/default/files/Academic_Freedom_F20.pdf</w:t>
        </w:r>
      </w:hyperlink>
    </w:p>
  </w:footnote>
  <w:footnote w:id="77">
    <w:p w14:paraId="2787E32D" w14:textId="2BD291E1" w:rsidR="00532F15" w:rsidRDefault="00532F15" w:rsidP="00532F15">
      <w:pPr>
        <w:spacing w:after="0" w:line="240" w:lineRule="auto"/>
        <w:rPr>
          <w:sz w:val="20"/>
          <w:szCs w:val="20"/>
        </w:rPr>
      </w:pPr>
      <w:r>
        <w:rPr>
          <w:vertAlign w:val="superscript"/>
        </w:rPr>
        <w:footnoteRef/>
      </w:r>
      <w:r>
        <w:rPr>
          <w:sz w:val="20"/>
          <w:szCs w:val="20"/>
        </w:rPr>
        <w:t xml:space="preserve"> ASCCC Position Paper, </w:t>
      </w:r>
      <w:r w:rsidR="00D57123">
        <w:rPr>
          <w:sz w:val="20"/>
          <w:szCs w:val="20"/>
        </w:rPr>
        <w:t>p</w:t>
      </w:r>
      <w:r>
        <w:rPr>
          <w:sz w:val="20"/>
          <w:szCs w:val="20"/>
        </w:rPr>
        <w:t>age 1</w:t>
      </w:r>
      <w:r w:rsidR="00826426">
        <w:rPr>
          <w:sz w:val="20"/>
          <w:szCs w:val="20"/>
        </w:rPr>
        <w:t xml:space="preserve">: </w:t>
      </w:r>
      <w:hyperlink r:id="rId85">
        <w:r w:rsidR="00826426">
          <w:rPr>
            <w:color w:val="0000FF"/>
            <w:sz w:val="20"/>
            <w:szCs w:val="20"/>
            <w:u w:val="single"/>
          </w:rPr>
          <w:t>https://www.asccc.org/sites/default/files/Academic_Freedom_F20.pdf</w:t>
        </w:r>
      </w:hyperlink>
    </w:p>
  </w:footnote>
  <w:footnote w:id="78">
    <w:p w14:paraId="2322FDBB" w14:textId="4077C3CA" w:rsidR="00532F15" w:rsidRDefault="00532F15" w:rsidP="00532F15">
      <w:pPr>
        <w:spacing w:after="0" w:line="240" w:lineRule="auto"/>
        <w:rPr>
          <w:sz w:val="20"/>
          <w:szCs w:val="20"/>
        </w:rPr>
      </w:pPr>
      <w:r>
        <w:rPr>
          <w:vertAlign w:val="superscript"/>
        </w:rPr>
        <w:footnoteRef/>
      </w:r>
      <w:r>
        <w:rPr>
          <w:sz w:val="20"/>
          <w:szCs w:val="20"/>
        </w:rPr>
        <w:t xml:space="preserve"> ISA Statement on the Situation in Israel </w:t>
      </w:r>
      <w:r w:rsidR="004A5788">
        <w:rPr>
          <w:sz w:val="20"/>
          <w:szCs w:val="20"/>
        </w:rPr>
        <w:t>and</w:t>
      </w:r>
      <w:r>
        <w:rPr>
          <w:sz w:val="20"/>
          <w:szCs w:val="20"/>
        </w:rPr>
        <w:t xml:space="preserve"> Palestine </w:t>
      </w:r>
      <w:hyperlink r:id="rId86">
        <w:r>
          <w:rPr>
            <w:color w:val="1155CC"/>
            <w:sz w:val="20"/>
            <w:szCs w:val="20"/>
            <w:u w:val="single"/>
          </w:rPr>
          <w:t>https://www.isa-sociology.org/en/about-isa/isa-human-rights-committee/statement-on-the-situation-in-israel-and-palestine</w:t>
        </w:r>
      </w:hyperlink>
    </w:p>
  </w:footnote>
  <w:footnote w:id="79">
    <w:p w14:paraId="106CB43F" w14:textId="77777777" w:rsidR="00532F15" w:rsidRDefault="00532F15" w:rsidP="00532F15">
      <w:pPr>
        <w:spacing w:after="0" w:line="240" w:lineRule="auto"/>
        <w:rPr>
          <w:sz w:val="20"/>
          <w:szCs w:val="20"/>
        </w:rPr>
      </w:pPr>
      <w:r>
        <w:rPr>
          <w:vertAlign w:val="superscript"/>
        </w:rPr>
        <w:footnoteRef/>
      </w:r>
      <w:r>
        <w:rPr>
          <w:sz w:val="20"/>
          <w:szCs w:val="20"/>
        </w:rPr>
        <w:t xml:space="preserve"> “Calling for a Bilateral Cease-Fire in Gaza and Promoting a Two-State Solution and an End to the Weaponization of Hate”</w:t>
      </w:r>
    </w:p>
    <w:p w14:paraId="354B890A" w14:textId="77777777" w:rsidR="00532F15" w:rsidRDefault="00000000" w:rsidP="00532F15">
      <w:pPr>
        <w:spacing w:after="0" w:line="240" w:lineRule="auto"/>
        <w:rPr>
          <w:sz w:val="20"/>
          <w:szCs w:val="20"/>
        </w:rPr>
      </w:pPr>
      <w:hyperlink r:id="rId87">
        <w:r w:rsidR="00532F15">
          <w:rPr>
            <w:color w:val="1155CC"/>
            <w:sz w:val="20"/>
            <w:szCs w:val="20"/>
            <w:u w:val="single"/>
          </w:rPr>
          <w:t>https://www.aft.org/resolution/calling-bilateral-cease-fire-gaza-and-promoting-two-state-solution-and-end-weaponization</w:t>
        </w:r>
      </w:hyperlink>
      <w:r w:rsidR="00532F15">
        <w:rPr>
          <w:sz w:val="20"/>
          <w:szCs w:val="20"/>
        </w:rPr>
        <w:t xml:space="preserve"> </w:t>
      </w:r>
    </w:p>
  </w:footnote>
  <w:footnote w:id="80">
    <w:p w14:paraId="2DD5084B" w14:textId="77777777" w:rsidR="00532F15" w:rsidRDefault="00532F15" w:rsidP="00532F15">
      <w:pPr>
        <w:spacing w:after="0" w:line="240" w:lineRule="auto"/>
        <w:rPr>
          <w:sz w:val="20"/>
          <w:szCs w:val="20"/>
        </w:rPr>
      </w:pPr>
      <w:r>
        <w:rPr>
          <w:vertAlign w:val="superscript"/>
        </w:rPr>
        <w:footnoteRef/>
      </w:r>
      <w:r>
        <w:rPr>
          <w:sz w:val="20"/>
          <w:szCs w:val="20"/>
        </w:rPr>
        <w:t xml:space="preserve"> </w:t>
      </w:r>
      <w:hyperlink r:id="rId88">
        <w:r>
          <w:rPr>
            <w:color w:val="1155CC"/>
            <w:sz w:val="20"/>
            <w:szCs w:val="20"/>
            <w:u w:val="single"/>
          </w:rPr>
          <w:t>https://www.reuters.com/world/us/us-professors-suspended-probed-over-gaza-war-comments-2023-11-17/</w:t>
        </w:r>
      </w:hyperlink>
    </w:p>
  </w:footnote>
  <w:footnote w:id="81">
    <w:p w14:paraId="60ABFFE8" w14:textId="77777777" w:rsidR="00532F15" w:rsidRDefault="00532F15" w:rsidP="00532F15">
      <w:pPr>
        <w:spacing w:after="0" w:line="240" w:lineRule="auto"/>
        <w:rPr>
          <w:sz w:val="20"/>
          <w:szCs w:val="20"/>
        </w:rPr>
      </w:pPr>
      <w:r>
        <w:rPr>
          <w:vertAlign w:val="superscript"/>
        </w:rPr>
        <w:footnoteRef/>
      </w:r>
      <w:r>
        <w:rPr>
          <w:sz w:val="20"/>
          <w:szCs w:val="20"/>
        </w:rPr>
        <w:t xml:space="preserve"> </w:t>
      </w:r>
      <w:hyperlink r:id="rId89">
        <w:r>
          <w:rPr>
            <w:color w:val="1155CC"/>
            <w:sz w:val="20"/>
            <w:szCs w:val="20"/>
            <w:u w:val="single"/>
          </w:rPr>
          <w:t>https://www.aaup.org/news/academic-freedom-times-war</w:t>
        </w:r>
      </w:hyperlink>
    </w:p>
  </w:footnote>
  <w:footnote w:id="82">
    <w:p w14:paraId="50D49DB5" w14:textId="5CB4B0AB" w:rsidR="001A6DEA" w:rsidRPr="00652948" w:rsidRDefault="001A6DEA" w:rsidP="001A6DEA">
      <w:pPr>
        <w:pStyle w:val="FootnoteText"/>
        <w:rPr>
          <w:rFonts w:cstheme="minorHAnsi"/>
        </w:rPr>
      </w:pPr>
      <w:r w:rsidRPr="00652948">
        <w:rPr>
          <w:rStyle w:val="FootnoteReference"/>
          <w:rFonts w:cstheme="minorHAnsi"/>
        </w:rPr>
        <w:footnoteRef/>
      </w:r>
      <w:r w:rsidRPr="00652948">
        <w:rPr>
          <w:rFonts w:cstheme="minorHAnsi"/>
        </w:rPr>
        <w:t xml:space="preserve"> </w:t>
      </w:r>
      <w:r w:rsidRPr="00BA37B5">
        <w:rPr>
          <w:rFonts w:eastAsiaTheme="majorEastAsia" w:cstheme="minorHAnsi"/>
        </w:rPr>
        <w:t xml:space="preserve">Spetz J., Chu L., Blash L., </w:t>
      </w:r>
      <w:r w:rsidR="00BA37B5">
        <w:rPr>
          <w:rFonts w:eastAsiaTheme="majorEastAsia" w:cstheme="minorHAnsi"/>
        </w:rPr>
        <w:t xml:space="preserve">2022, </w:t>
      </w:r>
      <w:r w:rsidRPr="00BA37B5">
        <w:rPr>
          <w:rFonts w:eastAsiaTheme="majorEastAsia" w:cstheme="minorHAnsi"/>
        </w:rPr>
        <w:t>Forecasts of the Registered Nurse Workforce in California</w:t>
      </w:r>
      <w:r w:rsidR="00BA37B5">
        <w:rPr>
          <w:rFonts w:eastAsiaTheme="majorEastAsia" w:cstheme="minorHAnsi"/>
        </w:rPr>
        <w:t xml:space="preserve">: </w:t>
      </w:r>
      <w:hyperlink r:id="rId90" w:history="1">
        <w:r w:rsidR="00BA37B5" w:rsidRPr="00793D5E">
          <w:rPr>
            <w:rStyle w:val="Hyperlink"/>
            <w:rFonts w:eastAsiaTheme="majorEastAsia" w:cstheme="minorHAnsi"/>
          </w:rPr>
          <w:t>https://www.rn.ca.gov/pdfs/forms/forecast2022.pdf</w:t>
        </w:r>
      </w:hyperlink>
    </w:p>
  </w:footnote>
  <w:footnote w:id="83">
    <w:p w14:paraId="07B31AE0" w14:textId="7925815A" w:rsidR="001A6DEA" w:rsidRPr="00A329CD" w:rsidRDefault="001A6DEA" w:rsidP="001A6DEA">
      <w:pPr>
        <w:pStyle w:val="FootnoteText"/>
        <w:rPr>
          <w:rFonts w:cstheme="minorHAnsi"/>
        </w:rPr>
      </w:pPr>
      <w:r w:rsidRPr="00652948">
        <w:rPr>
          <w:rStyle w:val="FootnoteReference"/>
          <w:rFonts w:cstheme="minorHAnsi"/>
        </w:rPr>
        <w:footnoteRef/>
      </w:r>
      <w:r w:rsidRPr="00652948">
        <w:rPr>
          <w:rFonts w:cstheme="minorHAnsi"/>
        </w:rPr>
        <w:t xml:space="preserve"> </w:t>
      </w:r>
      <w:r w:rsidRPr="00A329CD">
        <w:rPr>
          <w:rFonts w:eastAsiaTheme="majorEastAsia" w:cstheme="minorHAnsi"/>
        </w:rPr>
        <w:t>American Association of Colleges of Nursing (AACN) Research Brief, Employment of New Nurse Graduates and Employee Preferences for Baccalaureate Prepared Nurses, October 2023</w:t>
      </w:r>
      <w:r w:rsidR="00A329CD">
        <w:rPr>
          <w:rStyle w:val="Hyperlink"/>
          <w:rFonts w:eastAsiaTheme="majorEastAsia" w:cstheme="minorHAnsi"/>
          <w:u w:val="none"/>
        </w:rPr>
        <w:t xml:space="preserve">: </w:t>
      </w:r>
      <w:hyperlink r:id="rId91" w:history="1">
        <w:r w:rsidR="00A329CD" w:rsidRPr="00793D5E">
          <w:rPr>
            <w:rStyle w:val="Hyperlink"/>
            <w:rFonts w:eastAsiaTheme="majorEastAsia" w:cstheme="minorHAnsi"/>
          </w:rPr>
          <w:t>https://www.aacnnursing.org/Portals/0/PDFs/Data/Research-Brief-10-23.pdf</w:t>
        </w:r>
      </w:hyperlink>
    </w:p>
  </w:footnote>
  <w:footnote w:id="84">
    <w:p w14:paraId="7D1AA8FC" w14:textId="254ED58E" w:rsidR="001A6DEA" w:rsidRPr="00652948" w:rsidRDefault="001A6DEA" w:rsidP="001A6DEA">
      <w:pPr>
        <w:pStyle w:val="FootnoteText"/>
        <w:rPr>
          <w:rFonts w:cstheme="minorHAnsi"/>
        </w:rPr>
      </w:pPr>
      <w:r w:rsidRPr="00652948">
        <w:rPr>
          <w:rStyle w:val="FootnoteReference"/>
          <w:rFonts w:cstheme="minorHAnsi"/>
        </w:rPr>
        <w:footnoteRef/>
      </w:r>
      <w:r w:rsidRPr="00652948">
        <w:rPr>
          <w:rFonts w:cstheme="minorHAnsi"/>
        </w:rPr>
        <w:t xml:space="preserve"> </w:t>
      </w:r>
      <w:r w:rsidRPr="00A329CD">
        <w:rPr>
          <w:rFonts w:eastAsiaTheme="majorEastAsia" w:cstheme="minorHAnsi"/>
        </w:rPr>
        <w:t>Spetz J., Chu L., Blash L.</w:t>
      </w:r>
      <w:r w:rsidR="00A329CD">
        <w:rPr>
          <w:rFonts w:eastAsiaTheme="majorEastAsia" w:cstheme="minorHAnsi"/>
        </w:rPr>
        <w:t>, 2023</w:t>
      </w:r>
      <w:r w:rsidRPr="00A329CD">
        <w:rPr>
          <w:rFonts w:eastAsiaTheme="majorEastAsia" w:cstheme="minorHAnsi"/>
        </w:rPr>
        <w:t>, California Board of Registered Nursing 2021-2022 Annual School Report</w:t>
      </w:r>
      <w:r w:rsidR="00A329CD">
        <w:rPr>
          <w:rFonts w:cstheme="minorHAnsi"/>
        </w:rPr>
        <w:t xml:space="preserve">: </w:t>
      </w:r>
      <w:hyperlink r:id="rId92" w:history="1">
        <w:r w:rsidR="00A329CD" w:rsidRPr="00793D5E">
          <w:rPr>
            <w:rStyle w:val="Hyperlink"/>
            <w:rFonts w:cstheme="minorHAnsi"/>
          </w:rPr>
          <w:t>https://www.rn.ca.gov/pdfs/education/prelicensure21-22.pdf</w:t>
        </w:r>
      </w:hyperlink>
    </w:p>
  </w:footnote>
  <w:footnote w:id="85">
    <w:p w14:paraId="02D1D2CC" w14:textId="44AC862F" w:rsidR="001A6DEA" w:rsidRPr="00652948" w:rsidRDefault="001A6DEA" w:rsidP="001A6DEA">
      <w:pPr>
        <w:pStyle w:val="FootnoteText"/>
        <w:rPr>
          <w:rFonts w:cstheme="minorHAnsi"/>
        </w:rPr>
      </w:pPr>
      <w:r w:rsidRPr="00652948">
        <w:rPr>
          <w:rStyle w:val="FootnoteReference"/>
          <w:rFonts w:cstheme="minorHAnsi"/>
        </w:rPr>
        <w:footnoteRef/>
      </w:r>
      <w:r w:rsidRPr="00652948">
        <w:rPr>
          <w:rFonts w:cstheme="minorHAnsi"/>
        </w:rPr>
        <w:t xml:space="preserve"> </w:t>
      </w:r>
      <w:r w:rsidRPr="005E039D">
        <w:rPr>
          <w:rFonts w:eastAsiaTheme="majorEastAsia" w:cstheme="minorHAnsi"/>
        </w:rPr>
        <w:t>Resolution 06.02 F19 Expansion of Baccalaureate Degree Programs in Allied Health</w:t>
      </w:r>
      <w:r w:rsidR="005E039D">
        <w:rPr>
          <w:rFonts w:cstheme="minorHAnsi"/>
        </w:rPr>
        <w:t xml:space="preserve">: </w:t>
      </w:r>
      <w:hyperlink r:id="rId93" w:history="1">
        <w:r w:rsidR="000F54ED" w:rsidRPr="00793D5E">
          <w:rPr>
            <w:rStyle w:val="Hyperlink"/>
            <w:rFonts w:cstheme="minorHAnsi"/>
          </w:rPr>
          <w:t>https://asccc.org/resolutions/expansion-baccalaureate-degree-programs-allied-health</w:t>
        </w:r>
      </w:hyperlink>
    </w:p>
  </w:footnote>
  <w:footnote w:id="86">
    <w:p w14:paraId="46908A57" w14:textId="5BCC165C" w:rsidR="001A6DEA" w:rsidRDefault="001A6DEA" w:rsidP="001A6DEA">
      <w:pPr>
        <w:pStyle w:val="FootnoteText"/>
      </w:pPr>
      <w:r w:rsidRPr="00652948">
        <w:rPr>
          <w:rStyle w:val="FootnoteReference"/>
          <w:rFonts w:cstheme="minorHAnsi"/>
        </w:rPr>
        <w:footnoteRef/>
      </w:r>
      <w:r w:rsidRPr="00652948">
        <w:rPr>
          <w:rFonts w:cstheme="minorHAnsi"/>
        </w:rPr>
        <w:t xml:space="preserve"> SB 895 (Roth, 2024): </w:t>
      </w:r>
      <w:hyperlink r:id="rId94" w:history="1">
        <w:r w:rsidRPr="00652948">
          <w:rPr>
            <w:rStyle w:val="Hyperlink"/>
            <w:rFonts w:eastAsiaTheme="majorEastAsia" w:cstheme="minorHAnsi"/>
          </w:rPr>
          <w:t>https://leginfo.legislature.ca.gov/faces/billNavClient.xhtml?bill_id=202320240SB895</w:t>
        </w:r>
      </w:hyperlink>
    </w:p>
  </w:footnote>
  <w:footnote w:id="87">
    <w:p w14:paraId="32180838" w14:textId="77777777" w:rsidR="001A6DEA" w:rsidRDefault="001A6DEA" w:rsidP="001A6DEA">
      <w:pPr>
        <w:pStyle w:val="FootnoteText"/>
      </w:pPr>
      <w:r>
        <w:rPr>
          <w:rStyle w:val="FootnoteReference"/>
        </w:rPr>
        <w:footnoteRef/>
      </w:r>
      <w:r>
        <w:t xml:space="preserve"> SB 895 (Roth, 2024): </w:t>
      </w:r>
      <w:hyperlink r:id="rId95" w:history="1">
        <w:r w:rsidRPr="0075135D">
          <w:rPr>
            <w:rStyle w:val="Hyperlink"/>
          </w:rPr>
          <w:t>https://leginfo.legislature.ca.gov/faces/billNavClient.xhtml?bill_id=202320240SB895</w:t>
        </w:r>
      </w:hyperlink>
    </w:p>
  </w:footnote>
  <w:footnote w:id="88">
    <w:p w14:paraId="683A7C48" w14:textId="4FB0FCBF" w:rsidR="00E277A6" w:rsidRDefault="00E277A6">
      <w:pPr>
        <w:pStyle w:val="FootnoteText"/>
      </w:pPr>
      <w:r>
        <w:rPr>
          <w:rStyle w:val="FootnoteReference"/>
        </w:rPr>
        <w:footnoteRef/>
      </w:r>
      <w:r>
        <w:t xml:space="preserve"> ACR 147 (Alvarez, 2024): </w:t>
      </w:r>
      <w:hyperlink r:id="rId96" w:history="1">
        <w:r w:rsidRPr="0075135D">
          <w:rPr>
            <w:rStyle w:val="Hyperlink"/>
          </w:rPr>
          <w:t>https://leginfo.legislature.ca.gov/faces/billNavClient.xhtml?bill_id=202320240ACR147</w:t>
        </w:r>
      </w:hyperlink>
    </w:p>
  </w:footnote>
  <w:footnote w:id="89">
    <w:p w14:paraId="5F002A4D" w14:textId="77777777" w:rsidR="001A6DEA" w:rsidRDefault="001A6DEA" w:rsidP="001A6DEA">
      <w:pPr>
        <w:pStyle w:val="FootnoteText"/>
      </w:pPr>
      <w:r>
        <w:rPr>
          <w:rStyle w:val="FootnoteReference"/>
        </w:rPr>
        <w:footnoteRef/>
      </w:r>
      <w:r>
        <w:t xml:space="preserve"> ACR 147 (Alvarez, 2024): </w:t>
      </w:r>
      <w:hyperlink r:id="rId97" w:history="1">
        <w:r w:rsidRPr="0075135D">
          <w:rPr>
            <w:rStyle w:val="Hyperlink"/>
          </w:rPr>
          <w:t>https://leginfo.legislature.ca.gov/faces/billNavClient.xhtml?bill_id=202320240ACR147</w:t>
        </w:r>
      </w:hyperlink>
    </w:p>
  </w:footnote>
  <w:footnote w:id="90">
    <w:p w14:paraId="55FA9680" w14:textId="50A7A555" w:rsidR="001A6DEA" w:rsidRDefault="001A6DEA" w:rsidP="001A6DEA">
      <w:pPr>
        <w:pStyle w:val="FootnoteText"/>
      </w:pPr>
      <w:r>
        <w:rPr>
          <w:rStyle w:val="FootnoteReference"/>
        </w:rPr>
        <w:footnoteRef/>
      </w:r>
      <w:r>
        <w:t xml:space="preserve"> See </w:t>
      </w:r>
      <w:r w:rsidRPr="00457040">
        <w:t>Resolution 06.03 S16 Supporting Dream Resource Liaisons</w:t>
      </w:r>
      <w:r w:rsidR="00457040">
        <w:t xml:space="preserve">: </w:t>
      </w:r>
      <w:hyperlink r:id="rId98" w:history="1">
        <w:r w:rsidR="00457040" w:rsidRPr="00793D5E">
          <w:rPr>
            <w:rStyle w:val="Hyperlink"/>
          </w:rPr>
          <w:t>https://asccc.org/resolutions/supporting-dream-resource-liaisons</w:t>
        </w:r>
      </w:hyperlink>
      <w:r w:rsidR="00457040">
        <w:t>;</w:t>
      </w:r>
      <w:r>
        <w:t xml:space="preserve"> </w:t>
      </w:r>
      <w:r w:rsidRPr="00457040">
        <w:t>Resolution 03.02 S17 Support for Marginalized Students</w:t>
      </w:r>
      <w:r w:rsidR="00457040">
        <w:t xml:space="preserve">: </w:t>
      </w:r>
      <w:hyperlink r:id="rId99" w:history="1">
        <w:r w:rsidR="00457040" w:rsidRPr="00793D5E">
          <w:rPr>
            <w:rStyle w:val="Hyperlink"/>
          </w:rPr>
          <w:t>https://asccc.org/resolutions/support-marginalized-students-0</w:t>
        </w:r>
      </w:hyperlink>
      <w:r w:rsidR="00457040">
        <w:t>;</w:t>
      </w:r>
      <w:r>
        <w:t xml:space="preserve"> and </w:t>
      </w:r>
      <w:r w:rsidRPr="00457040">
        <w:t>Resolution 03.03 S17 Support for Students with Deferred Action for Childhood Arrivals (DACA) Status</w:t>
      </w:r>
      <w:r w:rsidR="00457040">
        <w:t xml:space="preserve">: </w:t>
      </w:r>
      <w:hyperlink r:id="rId100" w:history="1">
        <w:r w:rsidR="00457040" w:rsidRPr="00793D5E">
          <w:rPr>
            <w:rStyle w:val="Hyperlink"/>
          </w:rPr>
          <w:t>https://asccc.org/resolutions/support-students-deferred-action-childhood-arrivals-daca-status-0</w:t>
        </w:r>
      </w:hyperlink>
    </w:p>
  </w:footnote>
  <w:footnote w:id="91">
    <w:p w14:paraId="096CA045" w14:textId="366BED1E" w:rsidR="001A6DEA" w:rsidRPr="004C59F5" w:rsidRDefault="001A6DEA" w:rsidP="001A6DEA">
      <w:pPr>
        <w:pStyle w:val="FootnoteText"/>
      </w:pPr>
      <w:r>
        <w:rPr>
          <w:rStyle w:val="FootnoteReference"/>
        </w:rPr>
        <w:footnoteRef/>
      </w:r>
      <w:r>
        <w:t xml:space="preserve"> </w:t>
      </w:r>
      <w:r w:rsidRPr="004C59F5">
        <w:t>ASCSU Resolution AS-3303-17/FGA In Support of the Preservation and Extension of the Deferred Action for</w:t>
      </w:r>
    </w:p>
    <w:p w14:paraId="274D1C88" w14:textId="08F8ECF8" w:rsidR="001A6DEA" w:rsidRDefault="001A6DEA" w:rsidP="001A6DEA">
      <w:pPr>
        <w:pStyle w:val="FootnoteText"/>
      </w:pPr>
      <w:r w:rsidRPr="004C59F5">
        <w:t>Childhood Arrivals (DACA) Program</w:t>
      </w:r>
      <w:r w:rsidR="004C59F5">
        <w:t xml:space="preserve">: </w:t>
      </w:r>
      <w:hyperlink r:id="rId101" w:history="1">
        <w:r w:rsidR="004C59F5" w:rsidRPr="00793D5E">
          <w:rPr>
            <w:rStyle w:val="Hyperlink"/>
          </w:rPr>
          <w:t>https://www.calstate.edu/csu-system/faculty-staff/academic-senate/resolutions/2017-2018/3303.pdf</w:t>
        </w:r>
      </w:hyperlink>
    </w:p>
  </w:footnote>
  <w:footnote w:id="92">
    <w:p w14:paraId="544C605A" w14:textId="07806AC9" w:rsidR="001A6DEA" w:rsidRDefault="001A6DEA" w:rsidP="001A6DEA">
      <w:pPr>
        <w:pStyle w:val="FootnoteText"/>
      </w:pPr>
      <w:r>
        <w:rPr>
          <w:rStyle w:val="FootnoteReference"/>
        </w:rPr>
        <w:footnoteRef/>
      </w:r>
      <w:r>
        <w:t xml:space="preserve"> </w:t>
      </w:r>
      <w:r w:rsidRPr="00322C98">
        <w:t>University of California Academic Senate, Academic Council Statement in Support of Undocumented Students Enrolled at UC, January 31, 2018</w:t>
      </w:r>
      <w:r w:rsidR="00322C98">
        <w:t xml:space="preserve">: </w:t>
      </w:r>
      <w:hyperlink r:id="rId102" w:history="1">
        <w:r w:rsidR="00322C98" w:rsidRPr="00793D5E">
          <w:rPr>
            <w:rStyle w:val="Hyperlink"/>
          </w:rPr>
          <w:t>https://senate.universityofcalifornia.edu/_files/reports/SW-JN-aspirational-statement-support-for-undocumented-students.pdf</w:t>
        </w:r>
      </w:hyperlink>
    </w:p>
  </w:footnote>
  <w:footnote w:id="93">
    <w:p w14:paraId="11193976" w14:textId="6989B144" w:rsidR="001A6DEA" w:rsidRDefault="001A6DEA" w:rsidP="001A6DEA">
      <w:pPr>
        <w:pStyle w:val="FootnoteText"/>
      </w:pPr>
      <w:r>
        <w:rPr>
          <w:rStyle w:val="FootnoteReference"/>
        </w:rPr>
        <w:footnoteRef/>
      </w:r>
      <w:r>
        <w:t xml:space="preserve"> </w:t>
      </w:r>
      <w:r w:rsidRPr="0033352B">
        <w:t>ICAS DACA Support Request Letter, February 12, 2018</w:t>
      </w:r>
      <w:r w:rsidR="0033352B">
        <w:t xml:space="preserve">: </w:t>
      </w:r>
      <w:hyperlink r:id="rId103" w:history="1">
        <w:r w:rsidR="007C50F9" w:rsidRPr="00D734E4">
          <w:rPr>
            <w:rStyle w:val="Hyperlink"/>
          </w:rPr>
          <w:t>https://asccc.org/sites/default/files/ICAS%20DACA%20Support%20from%20Chancellors%20Letter.pdf</w:t>
        </w:r>
      </w:hyperlink>
      <w:r w:rsidR="007C50F9">
        <w:t xml:space="preserve"> </w:t>
      </w:r>
    </w:p>
  </w:footnote>
  <w:footnote w:id="94">
    <w:p w14:paraId="0FBE1267" w14:textId="61ABF6BC" w:rsidR="001A6DEA" w:rsidRDefault="001A6DEA" w:rsidP="001A6DEA">
      <w:pPr>
        <w:pStyle w:val="FootnoteText"/>
      </w:pPr>
      <w:r>
        <w:rPr>
          <w:rStyle w:val="FootnoteReference"/>
        </w:rPr>
        <w:footnoteRef/>
      </w:r>
      <w:r>
        <w:t xml:space="preserve"> </w:t>
      </w:r>
      <w:r w:rsidRPr="00581318">
        <w:t>US Citizenship and Immigration Services, DACA Litigation Information and Frequently Asked Questions</w:t>
      </w:r>
      <w:r>
        <w:t>, accessed March 21, 2024</w:t>
      </w:r>
      <w:r w:rsidR="00581318">
        <w:t xml:space="preserve">: </w:t>
      </w:r>
      <w:hyperlink r:id="rId104" w:history="1">
        <w:r w:rsidR="00581318" w:rsidRPr="00793D5E">
          <w:rPr>
            <w:rStyle w:val="Hyperlink"/>
          </w:rPr>
          <w:t>https://www.uscis.gov/humanitarian/consideration-of-deferred-action-for-childhood-arrivals-daca/daca-litigation-information-and-frequently-asked-questions</w:t>
        </w:r>
      </w:hyperlink>
    </w:p>
  </w:footnote>
  <w:footnote w:id="95">
    <w:p w14:paraId="09D4A52E" w14:textId="4499B358" w:rsidR="001A6DEA" w:rsidRDefault="001A6DEA" w:rsidP="001A6DEA">
      <w:pPr>
        <w:pStyle w:val="FootnoteText"/>
      </w:pPr>
      <w:r>
        <w:rPr>
          <w:rStyle w:val="FootnoteReference"/>
        </w:rPr>
        <w:footnoteRef/>
      </w:r>
      <w:r>
        <w:t xml:space="preserve"> </w:t>
      </w:r>
      <w:r w:rsidRPr="00FC77A6">
        <w:t>Civil Rights Division, US Department of Justice, Reminders for DACA Recipients and Employers that Work Authorization Continues After the Latest Decision in the DACA Litigation</w:t>
      </w:r>
      <w:r>
        <w:t>, accessed March 21, 2024</w:t>
      </w:r>
      <w:r w:rsidR="00FC77A6">
        <w:t xml:space="preserve">: </w:t>
      </w:r>
      <w:hyperlink r:id="rId105" w:history="1">
        <w:r w:rsidR="00FC77A6" w:rsidRPr="00793D5E">
          <w:rPr>
            <w:rStyle w:val="Hyperlink"/>
          </w:rPr>
          <w:t>https://www.justice.gov/crt/reminders-daca-recipients-and-employers</w:t>
        </w:r>
      </w:hyperlink>
    </w:p>
  </w:footnote>
  <w:footnote w:id="96">
    <w:p w14:paraId="7A4F039E" w14:textId="0647CAD8" w:rsidR="00662571" w:rsidRDefault="00662571">
      <w:pPr>
        <w:pStyle w:val="FootnoteText"/>
      </w:pPr>
      <w:r>
        <w:rPr>
          <w:rStyle w:val="FootnoteReference"/>
        </w:rPr>
        <w:footnoteRef/>
      </w:r>
      <w:r>
        <w:t xml:space="preserve"> AB 2586 (Alvarez, 2024): </w:t>
      </w:r>
      <w:hyperlink r:id="rId106" w:history="1">
        <w:r w:rsidRPr="0024519D">
          <w:rPr>
            <w:rStyle w:val="Hyperlink"/>
          </w:rPr>
          <w:t>https://leginfo.legislature.ca.gov/faces/billNavClient.xhtml?bill_id=202320240AB2586</w:t>
        </w:r>
      </w:hyperlink>
    </w:p>
  </w:footnote>
  <w:footnote w:id="97">
    <w:p w14:paraId="3DD18C2F" w14:textId="77777777" w:rsidR="001A6DEA" w:rsidRDefault="001A6DEA" w:rsidP="001A6DEA">
      <w:pPr>
        <w:pStyle w:val="FootnoteText"/>
      </w:pPr>
      <w:r>
        <w:rPr>
          <w:rStyle w:val="FootnoteReference"/>
        </w:rPr>
        <w:footnoteRef/>
      </w:r>
      <w:r>
        <w:t xml:space="preserve"> AB 2586 (Alvarez, 2024): </w:t>
      </w:r>
      <w:hyperlink r:id="rId107" w:history="1">
        <w:r w:rsidRPr="0024519D">
          <w:rPr>
            <w:rStyle w:val="Hyperlink"/>
          </w:rPr>
          <w:t>https://leginfo.legislature.ca.gov/faces/billNavClient.xhtml?bill_id=202320240AB2586</w:t>
        </w:r>
      </w:hyperlink>
      <w:r>
        <w:t xml:space="preserve"> </w:t>
      </w:r>
    </w:p>
  </w:footnote>
  <w:footnote w:id="98">
    <w:p w14:paraId="2AFBC2F0" w14:textId="3BF3A293" w:rsidR="001A6DEA" w:rsidRDefault="001A6DEA" w:rsidP="001A6DEA">
      <w:pPr>
        <w:pStyle w:val="FootnoteText"/>
      </w:pPr>
      <w:r>
        <w:rPr>
          <w:rStyle w:val="FootnoteReference"/>
        </w:rPr>
        <w:footnoteRef/>
      </w:r>
      <w:r>
        <w:t xml:space="preserve"> </w:t>
      </w:r>
      <w:r w:rsidRPr="00333868">
        <w:t xml:space="preserve">See </w:t>
      </w:r>
      <w:r w:rsidRPr="00C352DA">
        <w:t>Resolution 04.07 S95 Concurrent Enrollment with University of California</w:t>
      </w:r>
      <w:r w:rsidR="00C352DA">
        <w:t xml:space="preserve">: </w:t>
      </w:r>
      <w:hyperlink r:id="rId108" w:history="1">
        <w:r w:rsidR="00C352DA" w:rsidRPr="00793D5E">
          <w:rPr>
            <w:rStyle w:val="Hyperlink"/>
          </w:rPr>
          <w:t>https://asccc.org/resolutions/concurrent-enrollment-university-california</w:t>
        </w:r>
      </w:hyperlink>
      <w:r w:rsidR="00205FED">
        <w:t>;</w:t>
      </w:r>
      <w:r w:rsidR="00913AF1">
        <w:t xml:space="preserve"> </w:t>
      </w:r>
      <w:r w:rsidRPr="00C352DA">
        <w:t>Resolution 08.02 F99 UC Catalog Rights (Nonurgent from Spring 1999)</w:t>
      </w:r>
      <w:r w:rsidR="00C352DA">
        <w:t xml:space="preserve">: </w:t>
      </w:r>
      <w:hyperlink r:id="rId109" w:history="1">
        <w:r w:rsidR="00C352DA" w:rsidRPr="00D734E4">
          <w:rPr>
            <w:rStyle w:val="Hyperlink"/>
          </w:rPr>
          <w:t>https://asccc.org/resolutions/uc-catalog-rights-nonurgent-spring-1999</w:t>
        </w:r>
      </w:hyperlink>
      <w:r w:rsidR="00205FED">
        <w:t xml:space="preserve">; </w:t>
      </w:r>
      <w:r w:rsidRPr="00C352DA">
        <w:t>Resolution 06.01 S04 CSU Transfers</w:t>
      </w:r>
      <w:r w:rsidR="00C352DA">
        <w:t xml:space="preserve">: </w:t>
      </w:r>
      <w:hyperlink r:id="rId110" w:history="1">
        <w:r w:rsidR="00C352DA" w:rsidRPr="00D734E4">
          <w:rPr>
            <w:rStyle w:val="Hyperlink"/>
          </w:rPr>
          <w:t>https://asccc.org/resolutions/csu-transfers</w:t>
        </w:r>
      </w:hyperlink>
      <w:r w:rsidR="00205FED">
        <w:t>;</w:t>
      </w:r>
      <w:r w:rsidRPr="00333868">
        <w:t xml:space="preserve"> </w:t>
      </w:r>
      <w:r w:rsidRPr="00913AF1">
        <w:t>Resolution 15.02 S04 Protecting Transfer Students</w:t>
      </w:r>
      <w:r w:rsidR="00913AF1">
        <w:t>:</w:t>
      </w:r>
      <w:r w:rsidR="00913AF1" w:rsidRPr="00913AF1">
        <w:t xml:space="preserve"> </w:t>
      </w:r>
      <w:hyperlink r:id="rId111" w:history="1">
        <w:r w:rsidR="00913AF1" w:rsidRPr="00D734E4">
          <w:rPr>
            <w:rStyle w:val="Hyperlink"/>
          </w:rPr>
          <w:t>https://asccc.org/resolutions/protecting-transfer-students</w:t>
        </w:r>
      </w:hyperlink>
      <w:r w:rsidR="00205FED">
        <w:t>;</w:t>
      </w:r>
      <w:r w:rsidRPr="00333868">
        <w:t xml:space="preserve"> </w:t>
      </w:r>
      <w:r w:rsidRPr="00205FED">
        <w:t>Resolution 15.04 S06 Information About Transferring Students</w:t>
      </w:r>
      <w:r w:rsidR="00205FED">
        <w:t xml:space="preserve">: </w:t>
      </w:r>
      <w:hyperlink r:id="rId112" w:history="1">
        <w:r w:rsidR="00205FED" w:rsidRPr="00D734E4">
          <w:rPr>
            <w:rStyle w:val="Hyperlink"/>
          </w:rPr>
          <w:t>https://asccc.org/resolutions/information-about-transferring-students</w:t>
        </w:r>
      </w:hyperlink>
      <w:r w:rsidR="00205FED">
        <w:t>;</w:t>
      </w:r>
      <w:r w:rsidRPr="00333868">
        <w:t xml:space="preserve"> and </w:t>
      </w:r>
      <w:r w:rsidRPr="00205FED">
        <w:t>Resolution 15.02 F09 Re-Evaluate CSU Service Areas</w:t>
      </w:r>
      <w:r w:rsidR="00205FED">
        <w:t xml:space="preserve">: </w:t>
      </w:r>
      <w:hyperlink r:id="rId113" w:history="1">
        <w:r w:rsidR="00205FED" w:rsidRPr="00D734E4">
          <w:rPr>
            <w:rStyle w:val="Hyperlink"/>
          </w:rPr>
          <w:t>https://asccc.org/resolutions/re-evaluate-csu-service-areas</w:t>
        </w:r>
      </w:hyperlink>
    </w:p>
  </w:footnote>
  <w:footnote w:id="99">
    <w:p w14:paraId="17723F31" w14:textId="77777777" w:rsidR="001A6DEA" w:rsidRDefault="001A6DEA" w:rsidP="001A6DEA">
      <w:pPr>
        <w:pStyle w:val="FootnoteText"/>
      </w:pPr>
      <w:r>
        <w:rPr>
          <w:rStyle w:val="FootnoteReference"/>
        </w:rPr>
        <w:footnoteRef/>
      </w:r>
      <w:r>
        <w:t xml:space="preserve"> AB 2586 (Alvarez, 2024): </w:t>
      </w:r>
      <w:hyperlink r:id="rId114" w:history="1">
        <w:r w:rsidRPr="0075135D">
          <w:rPr>
            <w:rStyle w:val="Hyperlink"/>
          </w:rPr>
          <w:t>https://leginfo.legislature.ca.gov/faces/billNavClient.xhtml?bill_id=202320240AB2586</w:t>
        </w:r>
      </w:hyperlink>
    </w:p>
  </w:footnote>
  <w:footnote w:id="100">
    <w:p w14:paraId="14EEF1A7" w14:textId="137EF673" w:rsidR="001A6DEA" w:rsidRDefault="001A6DEA" w:rsidP="001A6DEA">
      <w:pPr>
        <w:pStyle w:val="FootnoteText"/>
      </w:pPr>
      <w:r>
        <w:rPr>
          <w:rStyle w:val="FootnoteReference"/>
        </w:rPr>
        <w:footnoteRef/>
      </w:r>
      <w:r>
        <w:t xml:space="preserve"> See </w:t>
      </w:r>
      <w:r w:rsidRPr="00520212">
        <w:t>ASCCC Paper, “What’s Wrong with Student Fees? Renewing the Commitment to No-Fee, Open-Access Community Colleges in California,” adopted Fall 2004</w:t>
      </w:r>
      <w:r w:rsidR="00520212">
        <w:t xml:space="preserve">: </w:t>
      </w:r>
      <w:hyperlink r:id="rId115" w:history="1">
        <w:r w:rsidR="00520212" w:rsidRPr="00D734E4">
          <w:rPr>
            <w:rStyle w:val="Hyperlink"/>
          </w:rPr>
          <w:t>https://asccc.org/sites/default/files/publications/StudentFeesOpenAccess_0.pdf</w:t>
        </w:r>
      </w:hyperlink>
    </w:p>
  </w:footnote>
  <w:footnote w:id="101">
    <w:p w14:paraId="2DB945A6" w14:textId="7A00BFED" w:rsidR="001A6DEA" w:rsidRDefault="001A6DEA" w:rsidP="001A6DEA">
      <w:pPr>
        <w:pStyle w:val="FootnoteText"/>
      </w:pPr>
      <w:r>
        <w:rPr>
          <w:rStyle w:val="FootnoteReference"/>
        </w:rPr>
        <w:footnoteRef/>
      </w:r>
      <w:r>
        <w:t xml:space="preserve"> </w:t>
      </w:r>
      <w:r w:rsidRPr="00FB1E0B">
        <w:t>Resolution 06.01 S11 Community College Fees</w:t>
      </w:r>
      <w:r w:rsidR="00FB1E0B">
        <w:t>:</w:t>
      </w:r>
      <w:r w:rsidR="00FB1E0B" w:rsidRPr="00FB1E0B">
        <w:t xml:space="preserve"> </w:t>
      </w:r>
      <w:hyperlink r:id="rId116" w:history="1">
        <w:r w:rsidR="00FB1E0B" w:rsidRPr="00D734E4">
          <w:rPr>
            <w:rStyle w:val="Hyperlink"/>
          </w:rPr>
          <w:t>https://asccc.org/resolutions/community-college-fees</w:t>
        </w:r>
      </w:hyperlink>
      <w:r w:rsidR="00FB1E0B">
        <w:t xml:space="preserve"> </w:t>
      </w:r>
    </w:p>
  </w:footnote>
  <w:footnote w:id="102">
    <w:p w14:paraId="37B1AAB3" w14:textId="77777777" w:rsidR="001A6DEA" w:rsidRDefault="001A6DEA" w:rsidP="001A6DEA">
      <w:pPr>
        <w:pStyle w:val="FootnoteText"/>
      </w:pPr>
      <w:r>
        <w:rPr>
          <w:rStyle w:val="FootnoteReference"/>
        </w:rPr>
        <w:footnoteRef/>
      </w:r>
      <w:r>
        <w:t xml:space="preserve"> California Education Code </w:t>
      </w:r>
      <w:r>
        <w:rPr>
          <w:rFonts w:cstheme="minorHAnsi"/>
        </w:rPr>
        <w:t>§</w:t>
      </w:r>
      <w:r>
        <w:t xml:space="preserve">76396.3:  </w:t>
      </w:r>
      <w:hyperlink r:id="rId117" w:history="1">
        <w:r w:rsidRPr="001C57AB">
          <w:rPr>
            <w:rStyle w:val="Hyperlink"/>
          </w:rPr>
          <w:t>https://leginfo.legislature.ca.gov/faces/codes_displaySection.xhtml?lawCode=EDC&amp;sectionNum=76396.3</w:t>
        </w:r>
      </w:hyperlink>
      <w:r>
        <w:t xml:space="preserve"> </w:t>
      </w:r>
    </w:p>
  </w:footnote>
  <w:footnote w:id="103">
    <w:p w14:paraId="35EE741D" w14:textId="71182F41" w:rsidR="001A6DEA" w:rsidRDefault="001A6DEA" w:rsidP="001A6DEA">
      <w:pPr>
        <w:pStyle w:val="FootnoteText"/>
      </w:pPr>
      <w:r>
        <w:rPr>
          <w:rStyle w:val="FootnoteReference"/>
        </w:rPr>
        <w:footnoteRef/>
      </w:r>
      <w:r>
        <w:t xml:space="preserve"> </w:t>
      </w:r>
      <w:r w:rsidRPr="003968CE">
        <w:t>Resolution 06.06 S21 Support AB 927 (Medina, 2021) as of April 9, 2021</w:t>
      </w:r>
      <w:r w:rsidR="003968CE">
        <w:t>:</w:t>
      </w:r>
      <w:r w:rsidR="003968CE" w:rsidRPr="003968CE">
        <w:t xml:space="preserve"> </w:t>
      </w:r>
      <w:hyperlink r:id="rId118" w:history="1">
        <w:r w:rsidR="003968CE" w:rsidRPr="00D734E4">
          <w:rPr>
            <w:rStyle w:val="Hyperlink"/>
          </w:rPr>
          <w:t>https://asccc.org/resolutions/support-ab-927-medina-2021-april-9-2021</w:t>
        </w:r>
      </w:hyperlink>
      <w:r w:rsidR="003968CE">
        <w:t xml:space="preserve">; </w:t>
      </w:r>
      <w:r>
        <w:t xml:space="preserve">and </w:t>
      </w:r>
      <w:r w:rsidRPr="003968CE">
        <w:t>AB 97 (Medina, 2021) chaptered October 6, 2021</w:t>
      </w:r>
      <w:r w:rsidR="003968CE">
        <w:t xml:space="preserve">: </w:t>
      </w:r>
      <w:hyperlink r:id="rId119" w:history="1">
        <w:r w:rsidR="003968CE" w:rsidRPr="00D734E4">
          <w:rPr>
            <w:rStyle w:val="Hyperlink"/>
          </w:rPr>
          <w:t>https://leginfo.legislature.ca.gov/faces/billTextClient.xhtml?bill_id=202120220AB927</w:t>
        </w:r>
      </w:hyperlink>
    </w:p>
  </w:footnote>
  <w:footnote w:id="104">
    <w:p w14:paraId="17E94345" w14:textId="77777777" w:rsidR="001A6DEA" w:rsidRDefault="001A6DEA" w:rsidP="001A6DEA">
      <w:pPr>
        <w:pStyle w:val="FootnoteText"/>
      </w:pPr>
      <w:r>
        <w:rPr>
          <w:rStyle w:val="FootnoteReference"/>
        </w:rPr>
        <w:footnoteRef/>
      </w:r>
      <w:r>
        <w:t xml:space="preserve"> </w:t>
      </w:r>
      <w:r w:rsidRPr="00595F73">
        <w:t>AB 2093 (Santiago, 2024</w:t>
      </w:r>
      <w:r>
        <w:t xml:space="preserve">): </w:t>
      </w:r>
      <w:hyperlink r:id="rId120" w:history="1">
        <w:r w:rsidRPr="00002E00">
          <w:rPr>
            <w:rStyle w:val="Hyperlink"/>
          </w:rPr>
          <w:t>https://leginfo.legislature.ca.gov/faces/billTextClient.xhtml?bill_id=202320240AB2093</w:t>
        </w:r>
      </w:hyperlink>
      <w:r>
        <w:t xml:space="preserve"> </w:t>
      </w:r>
    </w:p>
  </w:footnote>
  <w:footnote w:id="105">
    <w:p w14:paraId="6AC67386" w14:textId="77777777" w:rsidR="001A6DEA" w:rsidRDefault="001A6DEA" w:rsidP="001A6DEA">
      <w:pPr>
        <w:pStyle w:val="FootnoteText"/>
      </w:pPr>
      <w:r>
        <w:rPr>
          <w:rStyle w:val="FootnoteReference"/>
        </w:rPr>
        <w:footnoteRef/>
      </w:r>
      <w:r>
        <w:t xml:space="preserve"> AB 2093 (Santiago, 2024): </w:t>
      </w:r>
      <w:hyperlink r:id="rId121" w:history="1">
        <w:r w:rsidRPr="0075135D">
          <w:rPr>
            <w:rStyle w:val="Hyperlink"/>
          </w:rPr>
          <w:t>https://leginfo.legislature.ca.gov/faces/billNavClient.xhtml?bill_id=202320240AB2093</w:t>
        </w:r>
      </w:hyperlink>
    </w:p>
  </w:footnote>
  <w:footnote w:id="106">
    <w:p w14:paraId="5A4AC421" w14:textId="77777777" w:rsidR="001A6DEA" w:rsidRDefault="001A6DEA" w:rsidP="000F54ED">
      <w:pPr>
        <w:spacing w:after="0" w:line="240" w:lineRule="auto"/>
        <w:rPr>
          <w:sz w:val="20"/>
        </w:rPr>
      </w:pPr>
      <w:r>
        <w:rPr>
          <w:vertAlign w:val="superscript"/>
        </w:rPr>
        <w:footnoteRef/>
      </w:r>
      <w:r>
        <w:rPr>
          <w:sz w:val="20"/>
        </w:rPr>
        <w:t xml:space="preserve"> </w:t>
      </w:r>
      <w:hyperlink r:id="rId122">
        <w:r>
          <w:rPr>
            <w:color w:val="1155CC"/>
            <w:sz w:val="20"/>
            <w:u w:val="single"/>
          </w:rPr>
          <w:t>https://www.auditor.ca.gov/reports/2022-109/index.html</w:t>
        </w:r>
      </w:hyperlink>
    </w:p>
  </w:footnote>
  <w:footnote w:id="107">
    <w:p w14:paraId="015307EC" w14:textId="77777777" w:rsidR="001A6DEA" w:rsidRDefault="001A6DEA" w:rsidP="000F54ED">
      <w:pPr>
        <w:spacing w:after="0" w:line="240" w:lineRule="auto"/>
        <w:rPr>
          <w:sz w:val="20"/>
        </w:rPr>
      </w:pPr>
      <w:r>
        <w:rPr>
          <w:vertAlign w:val="superscript"/>
        </w:rPr>
        <w:footnoteRef/>
      </w:r>
      <w:r>
        <w:rPr>
          <w:sz w:val="20"/>
        </w:rPr>
        <w:t xml:space="preserve"> Truong, Debbie. “Six years, a trial, and a firing. But no end to a professor’s sexual harassment fight.” </w:t>
      </w:r>
      <w:r>
        <w:rPr>
          <w:i/>
          <w:sz w:val="20"/>
        </w:rPr>
        <w:t>Los Angeles Times</w:t>
      </w:r>
      <w:r>
        <w:rPr>
          <w:sz w:val="20"/>
        </w:rPr>
        <w:t xml:space="preserve">. 16 Oct. 2023: </w:t>
      </w:r>
      <w:hyperlink r:id="rId123">
        <w:r>
          <w:rPr>
            <w:color w:val="1155CC"/>
            <w:sz w:val="20"/>
            <w:u w:val="single"/>
          </w:rPr>
          <w:t>https://go.boarddocs.com/ca/laccd/Board.nsf/files/CXZD6W344620/$file/Inside%20a%20Los%20Angeles%20professor's%20long%20sexual%20harassment%20fight%20-%20Los%20Angeles%20Times%20(2).pdf</w:t>
        </w:r>
      </w:hyperlink>
    </w:p>
  </w:footnote>
  <w:footnote w:id="108">
    <w:p w14:paraId="6963ABB8" w14:textId="381660D4" w:rsidR="001A6DEA" w:rsidRPr="008D413D" w:rsidRDefault="001A6DEA" w:rsidP="000F54ED">
      <w:pPr>
        <w:pStyle w:val="FootnoteText"/>
      </w:pPr>
      <w:r>
        <w:rPr>
          <w:rStyle w:val="FootnoteReference"/>
        </w:rPr>
        <w:footnoteRef/>
      </w:r>
      <w:r>
        <w:t xml:space="preserve"> </w:t>
      </w:r>
      <w:r w:rsidRPr="00323B27">
        <w:t>A Call to Action: How Postsecondary Education Institutions Can Address Sex Discrimination and Provide Educational Justice on Campus, 2024, The California Assembly Committee on Higher Education, Chair Mike Fong</w:t>
      </w:r>
      <w:r w:rsidR="00323B27">
        <w:t xml:space="preserve">: </w:t>
      </w:r>
      <w:hyperlink r:id="rId124" w:history="1">
        <w:r w:rsidR="00323B27" w:rsidRPr="00D734E4">
          <w:rPr>
            <w:rStyle w:val="Hyperlink"/>
          </w:rPr>
          <w:t>https://ahed.assembly.ca.gov/system/files/2024-02/a-call-to-action-report-2024_0.pdf</w:t>
        </w:r>
      </w:hyperlink>
    </w:p>
  </w:footnote>
  <w:footnote w:id="109">
    <w:p w14:paraId="2FBF9A85" w14:textId="77777777" w:rsidR="001A6DEA" w:rsidRPr="00143EA1" w:rsidRDefault="001A6DEA" w:rsidP="000F54ED">
      <w:pPr>
        <w:pStyle w:val="FootnoteText"/>
      </w:pPr>
      <w:r>
        <w:rPr>
          <w:rStyle w:val="FootnoteReference"/>
        </w:rPr>
        <w:footnoteRef/>
      </w:r>
      <w:r>
        <w:t xml:space="preserve"> </w:t>
      </w:r>
      <w:hyperlink r:id="rId125" w:history="1">
        <w:r w:rsidRPr="00D7038B">
          <w:rPr>
            <w:rStyle w:val="Hyperlink"/>
          </w:rPr>
          <w:t>https://www.cccco.edu/-/media/CCCCO-Website/docs/report/Vision-2030-A-Roadmap-for-California-Community-Colleges.pdf?la=en&amp;hash=3B83F5221C4A7A8BEFA7E94D5BCBF540D2718013</w:t>
        </w:r>
      </w:hyperlink>
    </w:p>
  </w:footnote>
  <w:footnote w:id="110">
    <w:p w14:paraId="156D3A09" w14:textId="0DBA9C89" w:rsidR="0099225E" w:rsidRDefault="0099225E">
      <w:pPr>
        <w:pStyle w:val="FootnoteText"/>
      </w:pPr>
      <w:r>
        <w:rPr>
          <w:rStyle w:val="FootnoteReference"/>
        </w:rPr>
        <w:footnoteRef/>
      </w:r>
      <w:r>
        <w:t xml:space="preserve"> AB 2407 (Hart, 2024): </w:t>
      </w:r>
      <w:hyperlink r:id="rId126" w:history="1">
        <w:r w:rsidRPr="0075135D">
          <w:rPr>
            <w:rStyle w:val="Hyperlink"/>
          </w:rPr>
          <w:t>https://leginfo.legislature.ca.gov/faces/billNavClient.xhtml?bill_id=202320240AB2407</w:t>
        </w:r>
      </w:hyperlink>
    </w:p>
  </w:footnote>
  <w:footnote w:id="111">
    <w:p w14:paraId="6497BC1A" w14:textId="77777777" w:rsidR="001A6DEA" w:rsidRDefault="001A6DEA" w:rsidP="000F54ED">
      <w:pPr>
        <w:pStyle w:val="FootnoteText"/>
      </w:pPr>
      <w:r>
        <w:rPr>
          <w:rStyle w:val="FootnoteReference"/>
        </w:rPr>
        <w:footnoteRef/>
      </w:r>
      <w:r>
        <w:t xml:space="preserve"> </w:t>
      </w:r>
      <w:hyperlink r:id="rId127" w:history="1">
        <w:r w:rsidRPr="0097739A">
          <w:rPr>
            <w:rStyle w:val="Hyperlink"/>
          </w:rPr>
          <w:t>https://asccc.org/resolutions/prioritizing-prevention-sexual-harassment-and-discrimination-california-community</w:t>
        </w:r>
      </w:hyperlink>
    </w:p>
  </w:footnote>
  <w:footnote w:id="112">
    <w:p w14:paraId="2C181ED8" w14:textId="4AFF7F73" w:rsidR="001A6DEA" w:rsidRPr="00095A15" w:rsidRDefault="001A6DEA" w:rsidP="001A6DEA">
      <w:pPr>
        <w:pStyle w:val="FootnoteText"/>
      </w:pPr>
      <w:r>
        <w:rPr>
          <w:rStyle w:val="FootnoteReference"/>
        </w:rPr>
        <w:footnoteRef/>
      </w:r>
      <w:r>
        <w:t xml:space="preserve"> </w:t>
      </w:r>
      <w:r w:rsidRPr="00095A15">
        <w:t xml:space="preserve">See </w:t>
      </w:r>
      <w:r w:rsidRPr="00343BAD">
        <w:t>Resolution 04.07 S95 Concurrent Enrollment with University of California</w:t>
      </w:r>
      <w:r w:rsidR="00343BAD">
        <w:t>:</w:t>
      </w:r>
      <w:r w:rsidR="00343BAD" w:rsidRPr="00343BAD">
        <w:t xml:space="preserve"> </w:t>
      </w:r>
      <w:hyperlink r:id="rId128" w:history="1">
        <w:r w:rsidR="00343BAD" w:rsidRPr="00D734E4">
          <w:rPr>
            <w:rStyle w:val="Hyperlink"/>
          </w:rPr>
          <w:t>https://asccc.org/resolutions/concurrent-enrollment-university-california</w:t>
        </w:r>
      </w:hyperlink>
      <w:r w:rsidR="00343BAD">
        <w:t>;</w:t>
      </w:r>
      <w:r w:rsidRPr="00095A15">
        <w:t xml:space="preserve"> </w:t>
      </w:r>
      <w:r w:rsidRPr="00343BAD">
        <w:t>Resolution 08.02 F99 UC Catalog Rights (Nonurgent from Spring 1999)</w:t>
      </w:r>
      <w:r w:rsidR="00343BAD">
        <w:t xml:space="preserve">: </w:t>
      </w:r>
      <w:hyperlink r:id="rId129" w:history="1">
        <w:r w:rsidR="00343BAD" w:rsidRPr="00D734E4">
          <w:rPr>
            <w:rStyle w:val="Hyperlink"/>
          </w:rPr>
          <w:t>https://asccc.org/resolutions/uc-catalog-rights-nonurgent-spring-1999</w:t>
        </w:r>
      </w:hyperlink>
      <w:r w:rsidR="00343BAD">
        <w:t>;</w:t>
      </w:r>
      <w:r w:rsidRPr="00095A15">
        <w:t xml:space="preserve"> </w:t>
      </w:r>
      <w:r w:rsidRPr="00343BAD">
        <w:t>Resolution 06.01 S04 CSU Transfers</w:t>
      </w:r>
      <w:r w:rsidR="00343BAD">
        <w:t xml:space="preserve">: </w:t>
      </w:r>
      <w:hyperlink r:id="rId130" w:history="1">
        <w:r w:rsidR="00343BAD" w:rsidRPr="00D734E4">
          <w:rPr>
            <w:rStyle w:val="Hyperlink"/>
          </w:rPr>
          <w:t>https://asccc.org/resolutions/csu-transfers</w:t>
        </w:r>
      </w:hyperlink>
      <w:r w:rsidR="00343BAD">
        <w:t>;</w:t>
      </w:r>
      <w:r w:rsidRPr="00095A15">
        <w:t xml:space="preserve"> </w:t>
      </w:r>
      <w:r w:rsidRPr="00343BAD">
        <w:t>Resolution 15.02 S04 Protecting Transfer Students</w:t>
      </w:r>
      <w:r w:rsidR="00343BAD">
        <w:t>:</w:t>
      </w:r>
      <w:r w:rsidR="00343BAD" w:rsidRPr="00343BAD">
        <w:t xml:space="preserve"> </w:t>
      </w:r>
      <w:hyperlink r:id="rId131" w:history="1">
        <w:r w:rsidR="00343BAD" w:rsidRPr="00D734E4">
          <w:rPr>
            <w:rStyle w:val="Hyperlink"/>
          </w:rPr>
          <w:t>https://asccc.org/resolutions/protecting-transfer-students</w:t>
        </w:r>
      </w:hyperlink>
      <w:r w:rsidR="00343BAD">
        <w:t>;</w:t>
      </w:r>
      <w:r w:rsidRPr="00095A15">
        <w:t xml:space="preserve"> </w:t>
      </w:r>
      <w:r w:rsidRPr="00343BAD">
        <w:t>Resolution 15.04 S06 Information About Transferring Students</w:t>
      </w:r>
      <w:r w:rsidR="00343BAD">
        <w:t>:</w:t>
      </w:r>
      <w:r w:rsidR="00343BAD" w:rsidRPr="00343BAD">
        <w:t xml:space="preserve"> </w:t>
      </w:r>
      <w:hyperlink r:id="rId132" w:history="1">
        <w:r w:rsidR="00343BAD" w:rsidRPr="00D734E4">
          <w:rPr>
            <w:rStyle w:val="Hyperlink"/>
          </w:rPr>
          <w:t>https://asccc.org/resolutions/information-about-transferring-students</w:t>
        </w:r>
      </w:hyperlink>
      <w:r w:rsidR="00343BAD">
        <w:t>;</w:t>
      </w:r>
      <w:r w:rsidRPr="00095A15">
        <w:t xml:space="preserve"> and </w:t>
      </w:r>
      <w:r w:rsidRPr="00343BAD">
        <w:t>Resolution 15.02 F09 Re-Evaluate CSU Service Areas</w:t>
      </w:r>
      <w:r w:rsidR="00343BAD">
        <w:t xml:space="preserve">: </w:t>
      </w:r>
      <w:hyperlink r:id="rId133" w:history="1">
        <w:r w:rsidR="00343BAD" w:rsidRPr="00D734E4">
          <w:rPr>
            <w:rStyle w:val="Hyperlink"/>
          </w:rPr>
          <w:t>https://asccc.org/resolutions/re-evaluate-csu-service-areas</w:t>
        </w:r>
      </w:hyperlink>
    </w:p>
  </w:footnote>
  <w:footnote w:id="113">
    <w:p w14:paraId="3463FF70" w14:textId="6BC8DA89" w:rsidR="001A6DEA" w:rsidRPr="00095A15" w:rsidRDefault="001A6DEA" w:rsidP="001A6DEA">
      <w:pPr>
        <w:pStyle w:val="FootnoteText"/>
      </w:pPr>
      <w:r>
        <w:rPr>
          <w:rStyle w:val="FootnoteReference"/>
        </w:rPr>
        <w:footnoteRef/>
      </w:r>
      <w:r>
        <w:t xml:space="preserve"> See Resolution 06.03 S19 Provisionally Support SB 291 (Leyva, as of March 1, 2019)</w:t>
      </w:r>
      <w:r w:rsidR="00AD6F40">
        <w:t>:</w:t>
      </w:r>
      <w:r>
        <w:t xml:space="preserve"> </w:t>
      </w:r>
      <w:hyperlink r:id="rId134" w:history="1">
        <w:r w:rsidRPr="00095A15">
          <w:rPr>
            <w:rStyle w:val="Hyperlink"/>
          </w:rPr>
          <w:t>https://asccc.org/resolutions/provisionally-supportsb-291-leyva-march-1-2019</w:t>
        </w:r>
      </w:hyperlink>
      <w:r w:rsidR="00AD6F40">
        <w:t xml:space="preserve">; </w:t>
      </w:r>
      <w:r>
        <w:t>and Legislative and Resolution 06.02 F20 Systemic Support for Academic Freedom</w:t>
      </w:r>
      <w:r w:rsidR="00AD6F40">
        <w:t>:</w:t>
      </w:r>
      <w:r>
        <w:t xml:space="preserve"> </w:t>
      </w:r>
      <w:hyperlink r:id="rId135" w:history="1">
        <w:r w:rsidRPr="00095A15">
          <w:rPr>
            <w:rStyle w:val="Hyperlink"/>
          </w:rPr>
          <w:t>https://asccc.org/resolutions/legislative-and-systemic-support-academic-freedom</w:t>
        </w:r>
      </w:hyperlink>
    </w:p>
  </w:footnote>
  <w:footnote w:id="114">
    <w:p w14:paraId="7B4B43A6" w14:textId="5E365BE0" w:rsidR="001A6DEA" w:rsidRPr="00095A15" w:rsidRDefault="001A6DEA" w:rsidP="001A6DEA">
      <w:pPr>
        <w:pStyle w:val="FootnoteText"/>
      </w:pPr>
      <w:r>
        <w:rPr>
          <w:rStyle w:val="FootnoteReference"/>
        </w:rPr>
        <w:footnoteRef/>
      </w:r>
      <w:r>
        <w:t xml:space="preserve"> See Resolution 02.12 F02 Conflict of Interest</w:t>
      </w:r>
      <w:r w:rsidR="00AD6F40">
        <w:t>:</w:t>
      </w:r>
      <w:r>
        <w:t xml:space="preserve"> </w:t>
      </w:r>
      <w:hyperlink r:id="rId136" w:history="1">
        <w:r w:rsidRPr="0014160E">
          <w:rPr>
            <w:rStyle w:val="Hyperlink"/>
          </w:rPr>
          <w:t>https://asccc.org/resolutions/conflict-interest</w:t>
        </w:r>
      </w:hyperlink>
      <w:r w:rsidR="00AD6F40">
        <w:t>;</w:t>
      </w:r>
      <w:r>
        <w:t xml:space="preserve"> Resolution 06.05 F00 50% Audit of All Districts</w:t>
      </w:r>
      <w:r w:rsidR="00AD6F40">
        <w:t>:</w:t>
      </w:r>
      <w:r>
        <w:t xml:space="preserve"> </w:t>
      </w:r>
      <w:hyperlink r:id="rId137" w:history="1">
        <w:r w:rsidRPr="0014160E">
          <w:rPr>
            <w:rStyle w:val="Hyperlink"/>
          </w:rPr>
          <w:t>https://asccc.org/resolutions/50-audit-all-districts</w:t>
        </w:r>
      </w:hyperlink>
      <w:r w:rsidR="00AD6F40">
        <w:t>;</w:t>
      </w:r>
      <w:r>
        <w:t xml:space="preserve"> and Resolution 17.03 S94 Audit Matriculation Funds</w:t>
      </w:r>
      <w:r w:rsidR="00AD6F40">
        <w:t>:</w:t>
      </w:r>
      <w:r>
        <w:t xml:space="preserve"> </w:t>
      </w:r>
      <w:hyperlink r:id="rId138" w:history="1">
        <w:r w:rsidRPr="0014160E">
          <w:rPr>
            <w:rStyle w:val="Hyperlink"/>
          </w:rPr>
          <w:t>https://asccc.org/resolutions/audit-matriculation-funds</w:t>
        </w:r>
      </w:hyperlink>
      <w:r>
        <w:t xml:space="preserve"> </w:t>
      </w:r>
    </w:p>
  </w:footnote>
  <w:footnote w:id="115">
    <w:p w14:paraId="116F40F3" w14:textId="666F89CC" w:rsidR="001A6DEA" w:rsidRPr="00CD49A6" w:rsidRDefault="001A6DEA" w:rsidP="001A6DEA">
      <w:pPr>
        <w:pStyle w:val="FootnoteText"/>
      </w:pPr>
      <w:r>
        <w:rPr>
          <w:rStyle w:val="FootnoteReference"/>
        </w:rPr>
        <w:footnoteRef/>
      </w:r>
      <w:r>
        <w:t xml:space="preserve"> Resolution 13.01 F23 </w:t>
      </w:r>
      <w:r w:rsidRPr="00CD49A6">
        <w:t>Prioritizing the Prevention of Sexual Harassment and Discrimination at California Community College Campuses</w:t>
      </w:r>
      <w:r w:rsidR="00AD6F40">
        <w:t>:</w:t>
      </w:r>
      <w:r>
        <w:t xml:space="preserve"> </w:t>
      </w:r>
      <w:hyperlink r:id="rId139" w:history="1">
        <w:r w:rsidRPr="0014160E">
          <w:rPr>
            <w:rStyle w:val="Hyperlink"/>
          </w:rPr>
          <w:t>https://www.asccc.org/resolutions/prioritizing-prevention-sexual-harassment-and-discrimination-california-community</w:t>
        </w:r>
      </w:hyperlink>
      <w:r>
        <w:t xml:space="preserve"> </w:t>
      </w:r>
    </w:p>
  </w:footnote>
  <w:footnote w:id="116">
    <w:p w14:paraId="741B77AD" w14:textId="77777777" w:rsidR="001A6DEA" w:rsidRDefault="001A6DEA" w:rsidP="001A6DEA">
      <w:pPr>
        <w:pStyle w:val="FootnoteText"/>
      </w:pPr>
      <w:r>
        <w:rPr>
          <w:rStyle w:val="FootnoteReference"/>
        </w:rPr>
        <w:footnoteRef/>
      </w:r>
      <w:r>
        <w:t xml:space="preserve"> AB 2407 (Hart, 2024): </w:t>
      </w:r>
      <w:hyperlink r:id="rId140" w:history="1">
        <w:r w:rsidRPr="0075135D">
          <w:rPr>
            <w:rStyle w:val="Hyperlink"/>
          </w:rPr>
          <w:t>https://leginfo.legislature.ca.gov/faces/billNavClient.xhtml?bill_id=202320240AB2407</w:t>
        </w:r>
      </w:hyperlink>
    </w:p>
  </w:footnote>
  <w:footnote w:id="117">
    <w:p w14:paraId="5CCB1A09" w14:textId="77777777" w:rsidR="001A6DEA" w:rsidRDefault="001A6DEA" w:rsidP="001A6DEA">
      <w:pPr>
        <w:pStyle w:val="FootnoteText"/>
      </w:pPr>
      <w:r>
        <w:rPr>
          <w:rStyle w:val="FootnoteReference"/>
        </w:rPr>
        <w:footnoteRef/>
      </w:r>
      <w:r>
        <w:t xml:space="preserve"> </w:t>
      </w:r>
      <w:hyperlink r:id="rId141" w:history="1">
        <w:r w:rsidRPr="00D7038B">
          <w:rPr>
            <w:rStyle w:val="Hyperlink"/>
          </w:rPr>
          <w:t>https://americaschildrenact.com/static/media/America'sChildrenAct_One-Pager.d876041e00d2f2a1fa07.pdf</w:t>
        </w:r>
      </w:hyperlink>
    </w:p>
  </w:footnote>
  <w:footnote w:id="118">
    <w:p w14:paraId="76B2C493" w14:textId="77777777" w:rsidR="001A6DEA" w:rsidRDefault="001A6DEA" w:rsidP="001A6DEA">
      <w:pPr>
        <w:pStyle w:val="FootnoteText"/>
      </w:pPr>
      <w:r>
        <w:rPr>
          <w:rStyle w:val="FootnoteReference"/>
        </w:rPr>
        <w:footnoteRef/>
      </w:r>
      <w:r>
        <w:t xml:space="preserve"> HR 3442: </w:t>
      </w:r>
      <w:hyperlink r:id="rId142" w:history="1">
        <w:r w:rsidRPr="0075135D">
          <w:rPr>
            <w:rStyle w:val="Hyperlink"/>
          </w:rPr>
          <w:t>https://www.congress.gov/bill/118th-congress/house-bill/3442/text?s=1&amp;r=63</w:t>
        </w:r>
      </w:hyperlink>
    </w:p>
  </w:footnote>
  <w:footnote w:id="119">
    <w:p w14:paraId="681C7D46" w14:textId="77777777" w:rsidR="00CD5C45" w:rsidRPr="007747F9" w:rsidRDefault="00CD5C45" w:rsidP="00F63BC3">
      <w:pPr>
        <w:spacing w:after="0" w:line="240" w:lineRule="auto"/>
        <w:rPr>
          <w:sz w:val="20"/>
          <w:szCs w:val="20"/>
        </w:rPr>
      </w:pPr>
      <w:r w:rsidRPr="007747F9">
        <w:rPr>
          <w:sz w:val="20"/>
          <w:szCs w:val="20"/>
          <w:vertAlign w:val="superscript"/>
        </w:rPr>
        <w:footnoteRef/>
      </w:r>
      <w:r w:rsidRPr="007747F9">
        <w:rPr>
          <w:sz w:val="20"/>
          <w:szCs w:val="20"/>
        </w:rPr>
        <w:t xml:space="preserve"> Title III does not allow a campus to receive two of the more robust (read greater value) Part A grants simultaneously. However, if they have the resources, they can apply for smaller, Part F grants or other Part A grants on a different cycle (“</w:t>
      </w:r>
      <w:hyperlink r:id="rId143">
        <w:r w:rsidRPr="007747F9">
          <w:rPr>
            <w:color w:val="1155CC"/>
            <w:sz w:val="20"/>
            <w:szCs w:val="20"/>
            <w:u w:val="single"/>
          </w:rPr>
          <w:t>The Struggle for Dual Identity: MSI Grant Restrictions</w:t>
        </w:r>
      </w:hyperlink>
      <w:r w:rsidRPr="007747F9">
        <w:rPr>
          <w:sz w:val="20"/>
          <w:szCs w:val="20"/>
        </w:rPr>
        <w:t xml:space="preserve">;” May 13, 2022) </w:t>
      </w:r>
    </w:p>
  </w:footnote>
  <w:footnote w:id="120">
    <w:p w14:paraId="27FECBF6" w14:textId="77777777" w:rsidR="00CD5C45" w:rsidRDefault="00CD5C45" w:rsidP="00F63BC3">
      <w:pPr>
        <w:spacing w:after="0" w:line="240" w:lineRule="auto"/>
        <w:rPr>
          <w:sz w:val="20"/>
          <w:szCs w:val="20"/>
        </w:rPr>
      </w:pPr>
      <w:r w:rsidRPr="007747F9">
        <w:rPr>
          <w:sz w:val="20"/>
          <w:szCs w:val="20"/>
          <w:vertAlign w:val="superscript"/>
        </w:rPr>
        <w:footnoteRef/>
      </w:r>
      <w:r w:rsidRPr="007747F9">
        <w:rPr>
          <w:sz w:val="20"/>
          <w:szCs w:val="20"/>
        </w:rPr>
        <w:t xml:space="preserve"> “</w:t>
      </w:r>
      <w:hyperlink r:id="rId144">
        <w:r w:rsidRPr="007747F9">
          <w:rPr>
            <w:color w:val="1155CC"/>
            <w:sz w:val="20"/>
            <w:szCs w:val="20"/>
            <w:u w:val="single"/>
          </w:rPr>
          <w:t>Federal Grant Proves Elusive for Certain Colleges: The money is set aside for institutions serving large numbers of Asian American, Native American and Pacific Islander students, but many eligible colleges don’t apply because of bureaucratic hurdles</w:t>
        </w:r>
      </w:hyperlink>
      <w:r w:rsidRPr="007747F9">
        <w:rPr>
          <w:sz w:val="20"/>
          <w:szCs w:val="20"/>
        </w:rPr>
        <w:t>” (October 6, 2023)</w:t>
      </w:r>
    </w:p>
  </w:footnote>
  <w:footnote w:id="121">
    <w:p w14:paraId="74E3548F" w14:textId="77777777" w:rsidR="00CD5C45" w:rsidRPr="007747F9" w:rsidRDefault="00CD5C45" w:rsidP="00F63BC3">
      <w:pPr>
        <w:spacing w:after="0" w:line="240" w:lineRule="auto"/>
        <w:rPr>
          <w:sz w:val="20"/>
          <w:szCs w:val="20"/>
        </w:rPr>
      </w:pPr>
      <w:r w:rsidRPr="007747F9">
        <w:rPr>
          <w:sz w:val="20"/>
          <w:szCs w:val="20"/>
          <w:vertAlign w:val="superscript"/>
        </w:rPr>
        <w:footnoteRef/>
      </w:r>
      <w:r w:rsidRPr="007747F9">
        <w:rPr>
          <w:sz w:val="20"/>
          <w:szCs w:val="20"/>
        </w:rPr>
        <w:t xml:space="preserve"> </w:t>
      </w:r>
      <w:r w:rsidRPr="00A831CD">
        <w:rPr>
          <w:color w:val="000000" w:themeColor="text1"/>
          <w:sz w:val="20"/>
          <w:szCs w:val="20"/>
        </w:rPr>
        <w:t>Hirono, Cornyn, Chu, &amp; Royce Push to Level Playing Field for Minority College Students</w:t>
      </w:r>
      <w:r w:rsidRPr="0019459C">
        <w:rPr>
          <w:color w:val="000000" w:themeColor="text1"/>
          <w:sz w:val="20"/>
          <w:szCs w:val="20"/>
        </w:rPr>
        <w:t xml:space="preserve"> (2015): </w:t>
      </w:r>
      <w:hyperlink r:id="rId145" w:history="1">
        <w:r w:rsidRPr="007747F9">
          <w:rPr>
            <w:rStyle w:val="Hyperlink"/>
            <w:sz w:val="20"/>
            <w:szCs w:val="20"/>
          </w:rPr>
          <w:t>https://www.hirono.senate.gov/news/press-releases/hirono-cornyn-chu-and-royce-push-to-level-playing-field-for-minority-college-students</w:t>
        </w:r>
      </w:hyperlink>
    </w:p>
  </w:footnote>
  <w:footnote w:id="122">
    <w:p w14:paraId="3EB44568" w14:textId="77777777" w:rsidR="00327F7B" w:rsidRDefault="00327F7B" w:rsidP="00327F7B">
      <w:pPr>
        <w:pStyle w:val="FootnoteText"/>
      </w:pPr>
      <w:r>
        <w:rPr>
          <w:rStyle w:val="FootnoteReference"/>
        </w:rPr>
        <w:footnoteRef/>
      </w:r>
      <w:r>
        <w:t xml:space="preserve"> </w:t>
      </w:r>
      <w:hyperlink r:id="rId146" w:history="1">
        <w:r w:rsidRPr="0038133A">
          <w:rPr>
            <w:rStyle w:val="Hyperlink"/>
          </w:rPr>
          <w:t>https://lao.ca.gov/reports/2024/4853/CCC-022124.pdf</w:t>
        </w:r>
      </w:hyperlink>
    </w:p>
  </w:footnote>
  <w:footnote w:id="123">
    <w:p w14:paraId="24D76CC4" w14:textId="35408A89" w:rsidR="00327F7B" w:rsidRDefault="00327F7B" w:rsidP="00327F7B">
      <w:pPr>
        <w:pStyle w:val="FootnoteText"/>
      </w:pPr>
      <w:r>
        <w:rPr>
          <w:rStyle w:val="FootnoteReference"/>
        </w:rPr>
        <w:footnoteRef/>
      </w:r>
      <w:r>
        <w:t xml:space="preserve"> California Education Code </w:t>
      </w:r>
      <w:r w:rsidRPr="001A5642">
        <w:t>§84757</w:t>
      </w:r>
      <w:r>
        <w:t xml:space="preserve">: </w:t>
      </w:r>
      <w:hyperlink r:id="rId147" w:history="1">
        <w:r w:rsidR="002B3A64" w:rsidRPr="00A421D9">
          <w:rPr>
            <w:rStyle w:val="Hyperlink"/>
          </w:rPr>
          <w:t>https://leginfo.legislature.ca.gov/faces/codes_displaySection.xhtml?sectionNum=84757&amp;lawCode=EDC</w:t>
        </w:r>
      </w:hyperlink>
      <w:r w:rsidR="002B3A64">
        <w:t xml:space="preserve"> </w:t>
      </w:r>
    </w:p>
  </w:footnote>
  <w:footnote w:id="124">
    <w:p w14:paraId="777467B4" w14:textId="77777777" w:rsidR="00327F7B" w:rsidRDefault="00327F7B" w:rsidP="00327F7B">
      <w:pPr>
        <w:pStyle w:val="FootnoteText"/>
      </w:pPr>
      <w:r>
        <w:rPr>
          <w:rStyle w:val="FootnoteReference"/>
        </w:rPr>
        <w:footnoteRef/>
      </w:r>
      <w:r>
        <w:t xml:space="preserve"> Examples of Resolutions from 1989 that show ASCCC support for noncredit programs include the following resolutions:</w:t>
      </w:r>
      <w:r w:rsidRPr="00B0505F">
        <w:t xml:space="preserve"> </w:t>
      </w:r>
      <w:r>
        <w:t xml:space="preserve">08.05: </w:t>
      </w:r>
      <w:hyperlink r:id="rId148" w:history="1">
        <w:r w:rsidRPr="0038133A">
          <w:rPr>
            <w:rStyle w:val="Hyperlink"/>
          </w:rPr>
          <w:t>https://www.asccc.org/resolutions/non-credit-faculty</w:t>
        </w:r>
      </w:hyperlink>
      <w:r>
        <w:t xml:space="preserve">;  09.05: </w:t>
      </w:r>
      <w:hyperlink r:id="rId149" w:history="1">
        <w:r w:rsidRPr="0038133A">
          <w:rPr>
            <w:rStyle w:val="Hyperlink"/>
          </w:rPr>
          <w:t>https://www.asccc.org/resolutions/noncredit-instruction-and-shared-governance</w:t>
        </w:r>
      </w:hyperlink>
      <w:r>
        <w:t xml:space="preserve">; and 12.04: </w:t>
      </w:r>
      <w:hyperlink r:id="rId150" w:history="1">
        <w:r w:rsidRPr="0038133A">
          <w:rPr>
            <w:rStyle w:val="Hyperlink"/>
          </w:rPr>
          <w:t>https://www.asccc.org/resolutions/minimum-qualifications-noncredit-instruction</w:t>
        </w:r>
      </w:hyperlink>
    </w:p>
  </w:footnote>
  <w:footnote w:id="125">
    <w:p w14:paraId="47BB4FB0" w14:textId="77777777" w:rsidR="00327F7B" w:rsidRPr="00AE27ED" w:rsidRDefault="00327F7B" w:rsidP="00327F7B">
      <w:pPr>
        <w:pStyle w:val="Heading1"/>
        <w:shd w:val="clear" w:color="auto" w:fill="FFFFFF"/>
        <w:spacing w:before="0"/>
        <w:rPr>
          <w:rFonts w:eastAsiaTheme="minorHAnsi" w:cstheme="minorHAnsi"/>
          <w:b w:val="0"/>
          <w:sz w:val="20"/>
          <w:szCs w:val="20"/>
        </w:rPr>
      </w:pPr>
      <w:r w:rsidRPr="00AE27ED">
        <w:rPr>
          <w:rStyle w:val="FootnoteReference"/>
          <w:rFonts w:cstheme="minorHAnsi"/>
          <w:sz w:val="20"/>
          <w:szCs w:val="20"/>
        </w:rPr>
        <w:footnoteRef/>
      </w:r>
      <w:r w:rsidRPr="00AE27ED">
        <w:rPr>
          <w:rFonts w:cstheme="minorHAnsi"/>
          <w:sz w:val="20"/>
          <w:szCs w:val="20"/>
        </w:rPr>
        <w:t xml:space="preserve"> </w:t>
      </w:r>
      <w:r w:rsidRPr="00AE27ED">
        <w:rPr>
          <w:rFonts w:eastAsiaTheme="minorHAnsi" w:cstheme="minorHAnsi"/>
          <w:b w:val="0"/>
          <w:sz w:val="20"/>
          <w:szCs w:val="20"/>
        </w:rPr>
        <w:t>In Fall 2011, ASCCC adopted resolution 13.02: Opposition to the Elimination of Non-CDCP Noncredit Classes</w:t>
      </w:r>
      <w:r>
        <w:rPr>
          <w:rFonts w:eastAsiaTheme="minorHAnsi" w:cstheme="minorHAnsi"/>
          <w:b w:val="0"/>
          <w:sz w:val="20"/>
          <w:szCs w:val="20"/>
        </w:rPr>
        <w:t xml:space="preserve">: </w:t>
      </w:r>
      <w:hyperlink r:id="rId151" w:history="1">
        <w:r w:rsidRPr="0038133A">
          <w:rPr>
            <w:rStyle w:val="Hyperlink"/>
            <w:rFonts w:eastAsiaTheme="minorHAnsi" w:cstheme="minorHAnsi"/>
            <w:b w:val="0"/>
            <w:sz w:val="20"/>
            <w:szCs w:val="20"/>
          </w:rPr>
          <w:t>https://www.asccc.org/resolutions/opposition-elimination-non-cdcp-noncredit-classes</w:t>
        </w:r>
      </w:hyperlink>
    </w:p>
  </w:footnote>
  <w:footnote w:id="126">
    <w:p w14:paraId="77ECF0F8" w14:textId="77777777" w:rsidR="00327F7B" w:rsidRDefault="00327F7B" w:rsidP="00327F7B">
      <w:pPr>
        <w:pStyle w:val="FootnoteText"/>
      </w:pPr>
      <w:r>
        <w:rPr>
          <w:rStyle w:val="FootnoteReference"/>
        </w:rPr>
        <w:footnoteRef/>
      </w:r>
      <w:r>
        <w:t xml:space="preserve"> </w:t>
      </w:r>
      <w:hyperlink r:id="rId152" w:history="1">
        <w:r w:rsidRPr="00AC575A">
          <w:rPr>
            <w:rStyle w:val="Hyperlink"/>
          </w:rPr>
          <w:t>https://www.gov.ca.gov/wp-content/uploads/2019/06/6.10.19-Master-Plan-for-Aging-EO.pdf</w:t>
        </w:r>
      </w:hyperlink>
    </w:p>
  </w:footnote>
  <w:footnote w:id="127">
    <w:p w14:paraId="57E558B9" w14:textId="77777777" w:rsidR="00327F7B" w:rsidRDefault="00327F7B" w:rsidP="00327F7B">
      <w:pPr>
        <w:pStyle w:val="FootnoteText"/>
      </w:pPr>
      <w:r>
        <w:rPr>
          <w:rStyle w:val="FootnoteReference"/>
        </w:rPr>
        <w:footnoteRef/>
      </w:r>
      <w:r>
        <w:t xml:space="preserve"> </w:t>
      </w:r>
      <w:hyperlink r:id="rId153" w:history="1">
        <w:r w:rsidRPr="00AC575A">
          <w:rPr>
            <w:rStyle w:val="Hyperlink"/>
          </w:rPr>
          <w:t>https://mpa.aging.ca.gov/</w:t>
        </w:r>
      </w:hyperlink>
      <w:r>
        <w:t xml:space="preserve"> </w:t>
      </w:r>
    </w:p>
  </w:footnote>
  <w:footnote w:id="128">
    <w:p w14:paraId="432C3E87" w14:textId="32ED7ABA" w:rsidR="001A6DEA" w:rsidRDefault="001A6DEA" w:rsidP="001A6DEA">
      <w:pPr>
        <w:pStyle w:val="FootnoteText"/>
      </w:pPr>
      <w:r>
        <w:rPr>
          <w:rStyle w:val="FootnoteReference"/>
        </w:rPr>
        <w:footnoteRef/>
      </w:r>
      <w:r>
        <w:t xml:space="preserve"> CSU A-G Requirements: </w:t>
      </w:r>
      <w:hyperlink r:id="rId154" w:history="1">
        <w:r w:rsidRPr="00594F7C">
          <w:rPr>
            <w:rStyle w:val="Hyperlink"/>
          </w:rPr>
          <w:t>https://www.calstate.edu/apply/freshman/getting_into_the_csu/pages/admission-requirements.aspx</w:t>
        </w:r>
      </w:hyperlink>
      <w:r w:rsidR="00B6679A">
        <w:t xml:space="preserve">; </w:t>
      </w:r>
      <w:r>
        <w:t xml:space="preserve">UC A-G Requirements: </w:t>
      </w:r>
      <w:hyperlink r:id="rId155" w:history="1">
        <w:r w:rsidRPr="00594F7C">
          <w:rPr>
            <w:rStyle w:val="Hyperlink"/>
          </w:rPr>
          <w:t>https://admission.universityofcalifornia.edu/admission-requirements/freshman-requirements/</w:t>
        </w:r>
      </w:hyperlink>
    </w:p>
  </w:footnote>
  <w:footnote w:id="129">
    <w:p w14:paraId="13679617" w14:textId="77777777" w:rsidR="001A6DEA" w:rsidRDefault="001A6DEA" w:rsidP="001A6DEA">
      <w:pPr>
        <w:pStyle w:val="FootnoteText"/>
      </w:pPr>
      <w:r>
        <w:rPr>
          <w:rStyle w:val="FootnoteReference"/>
        </w:rPr>
        <w:footnoteRef/>
      </w:r>
      <w:r>
        <w:t xml:space="preserve"> For example, to satisfy one of the “B” English requirements for admission to the University of California, a course must meet the following criteria: “</w:t>
      </w:r>
      <w:r w:rsidRPr="0026065D">
        <w:t>For each year required through the 11th grade, a grade of C or better in a non-transferable college course of 3 or more semester (4 or more quarter) units in English composition, literature (American or English) or foreign literature in translation. Courses used to satisfy the fourth year and/or the entire requirement must be transferable.</w:t>
      </w:r>
      <w:r>
        <w:t xml:space="preserve">”  Reference: </w:t>
      </w:r>
      <w:hyperlink r:id="rId156" w:history="1">
        <w:r w:rsidRPr="001C57AB">
          <w:rPr>
            <w:rStyle w:val="Hyperlink"/>
          </w:rPr>
          <w:t>https://admission.universityofcalifornia.edu/admission-requirements/freshman-requirements/subject-requirement-a-g.html</w:t>
        </w:r>
      </w:hyperlink>
      <w:r>
        <w:t xml:space="preserve"> </w:t>
      </w:r>
    </w:p>
  </w:footnote>
  <w:footnote w:id="130">
    <w:p w14:paraId="77382486" w14:textId="6298A430" w:rsidR="008E12EA" w:rsidRDefault="008E12EA">
      <w:pPr>
        <w:pStyle w:val="FootnoteText"/>
      </w:pPr>
      <w:r>
        <w:rPr>
          <w:rStyle w:val="FootnoteReference"/>
        </w:rPr>
        <w:footnoteRef/>
      </w:r>
      <w:r>
        <w:t xml:space="preserve"> </w:t>
      </w:r>
      <w:r>
        <w:rPr>
          <w:i/>
          <w:iCs/>
        </w:rPr>
        <w:t xml:space="preserve">Vision 2030: A Roadmap for California Community Colleges: </w:t>
      </w:r>
      <w:r>
        <w:t xml:space="preserve"> </w:t>
      </w:r>
      <w:hyperlink r:id="rId157" w:history="1">
        <w:r w:rsidRPr="00D40273">
          <w:rPr>
            <w:rStyle w:val="Hyperlink"/>
          </w:rPr>
          <w:t>https://www.cccco.edu/-/media/CCCCO-Website/docs/report/Vision-2030-A-Roadmap-for-California-Community-Colleges.pdf?la=en&amp;hash=3B83F5221C4A7A8BEFA7E94D5BCBF540D2718013</w:t>
        </w:r>
      </w:hyperlink>
    </w:p>
  </w:footnote>
  <w:footnote w:id="131">
    <w:p w14:paraId="07F5AA0E" w14:textId="77777777" w:rsidR="001A6DEA" w:rsidRDefault="001A6DEA" w:rsidP="001A6DEA">
      <w:pPr>
        <w:pStyle w:val="FootnoteText"/>
      </w:pPr>
      <w:r>
        <w:rPr>
          <w:rStyle w:val="FootnoteReference"/>
        </w:rPr>
        <w:footnoteRef/>
      </w:r>
      <w:r>
        <w:t xml:space="preserve"> </w:t>
      </w:r>
      <w:hyperlink r:id="rId158" w:history="1">
        <w:r w:rsidRPr="006A2CA2">
          <w:rPr>
            <w:rStyle w:val="Hyperlink"/>
          </w:rPr>
          <w:t>https://cvc.edu/about-the-oei/</w:t>
        </w:r>
      </w:hyperlink>
      <w:r>
        <w:t xml:space="preserve"> </w:t>
      </w:r>
    </w:p>
  </w:footnote>
  <w:footnote w:id="132">
    <w:p w14:paraId="490BC0C6" w14:textId="394FDD1E" w:rsidR="005750D7" w:rsidRPr="00B61E15" w:rsidRDefault="005750D7" w:rsidP="005750D7">
      <w:pPr>
        <w:pStyle w:val="FootnoteText"/>
      </w:pPr>
      <w:r w:rsidRPr="00B61E15">
        <w:rPr>
          <w:rStyle w:val="FootnoteReference"/>
        </w:rPr>
        <w:footnoteRef/>
      </w:r>
      <w:r w:rsidRPr="00B61E15">
        <w:t xml:space="preserve"> Resolution 03.05 S22 Disaggregate Asian and Pacific Islander Student Data: </w:t>
      </w:r>
      <w:hyperlink r:id="rId159" w:history="1">
        <w:r w:rsidR="00B61E15" w:rsidRPr="0038133A">
          <w:rPr>
            <w:rStyle w:val="Hyperlink"/>
          </w:rPr>
          <w:t>https://www.asccc.org/resolutions/disaggregate-asian-and-pacific-islander-student-data</w:t>
        </w:r>
      </w:hyperlink>
    </w:p>
  </w:footnote>
  <w:footnote w:id="133">
    <w:p w14:paraId="62EF520E" w14:textId="77777777" w:rsidR="005750D7" w:rsidRDefault="005750D7" w:rsidP="006D3E06">
      <w:pPr>
        <w:spacing w:after="0" w:line="240" w:lineRule="auto"/>
        <w:rPr>
          <w:sz w:val="20"/>
          <w:szCs w:val="20"/>
        </w:rPr>
      </w:pPr>
      <w:r w:rsidRPr="00B61E15">
        <w:rPr>
          <w:sz w:val="20"/>
          <w:szCs w:val="20"/>
          <w:vertAlign w:val="superscript"/>
        </w:rPr>
        <w:footnoteRef/>
      </w:r>
      <w:r w:rsidRPr="00B61E15">
        <w:rPr>
          <w:sz w:val="20"/>
          <w:szCs w:val="20"/>
        </w:rPr>
        <w:t xml:space="preserve"> </w:t>
      </w:r>
      <w:hyperlink r:id="rId160">
        <w:r w:rsidRPr="00B61E15">
          <w:rPr>
            <w:color w:val="1155CC"/>
            <w:sz w:val="20"/>
            <w:szCs w:val="20"/>
            <w:u w:val="single"/>
          </w:rPr>
          <w:t>https://webdata.cccco.edu/ded/sb/sb38.pdf</w:t>
        </w:r>
      </w:hyperlink>
    </w:p>
  </w:footnote>
  <w:footnote w:id="134">
    <w:p w14:paraId="15641158" w14:textId="45DFA5FE" w:rsidR="00630633" w:rsidRPr="007747F9" w:rsidRDefault="00630633" w:rsidP="006D3E06">
      <w:pPr>
        <w:pStyle w:val="FootnoteText"/>
      </w:pPr>
      <w:r w:rsidRPr="007747F9">
        <w:rPr>
          <w:rStyle w:val="FootnoteReference"/>
        </w:rPr>
        <w:footnoteRef/>
      </w:r>
      <w:r w:rsidRPr="007747F9">
        <w:t xml:space="preserve"> </w:t>
      </w:r>
      <w:hyperlink r:id="rId161" w:history="1">
        <w:r w:rsidRPr="007747F9">
          <w:rPr>
            <w:rStyle w:val="Hyperlink"/>
          </w:rPr>
          <w:t>https://www.federalregister.gov/documents/2024/03/29/2024-06469/revisions-to-ombs-statistical-policy-directive-no-15-standards-for-maintaining-collecting-and</w:t>
        </w:r>
      </w:hyperlink>
    </w:p>
  </w:footnote>
  <w:footnote w:id="135">
    <w:p w14:paraId="38A13DB8" w14:textId="6CE5418A" w:rsidR="002C6BE0" w:rsidRDefault="002C6BE0" w:rsidP="006D3E06">
      <w:pPr>
        <w:pStyle w:val="FootnoteText"/>
      </w:pPr>
      <w:r>
        <w:rPr>
          <w:rStyle w:val="FootnoteReference"/>
        </w:rPr>
        <w:footnoteRef/>
      </w:r>
      <w:r w:rsidR="006D3E06">
        <w:t xml:space="preserve"> AB 1705 (Irwin, 2022): </w:t>
      </w:r>
      <w:r>
        <w:t xml:space="preserve"> </w:t>
      </w:r>
      <w:hyperlink r:id="rId162" w:history="1">
        <w:r w:rsidRPr="00AC575A">
          <w:rPr>
            <w:rStyle w:val="Hyperlink"/>
          </w:rPr>
          <w:t>https://leginfo.legislature.ca.gov/faces/billNavClient.xhtml?bill_id=202120220AB1705</w:t>
        </w:r>
      </w:hyperlink>
    </w:p>
  </w:footnote>
  <w:footnote w:id="136">
    <w:p w14:paraId="278C7BDD" w14:textId="6EC63A95" w:rsidR="00015D61" w:rsidRDefault="00015D61">
      <w:pPr>
        <w:pStyle w:val="FootnoteText"/>
      </w:pPr>
      <w:r>
        <w:rPr>
          <w:rStyle w:val="FootnoteReference"/>
        </w:rPr>
        <w:footnoteRef/>
      </w:r>
      <w:r>
        <w:t xml:space="preserve"> </w:t>
      </w:r>
      <w:r w:rsidR="00C54CC0">
        <w:t xml:space="preserve">AB 1705 (Irwin, 2022):  </w:t>
      </w:r>
      <w:hyperlink r:id="rId163" w:history="1">
        <w:r w:rsidR="00C54CC0" w:rsidRPr="00AC575A">
          <w:rPr>
            <w:rStyle w:val="Hyperlink"/>
          </w:rPr>
          <w:t>https://leginfo.legislature.ca.gov/faces/billNavClient.xhtml?bill_id=202120220AB1705</w:t>
        </w:r>
      </w:hyperlink>
    </w:p>
  </w:footnote>
  <w:footnote w:id="137">
    <w:p w14:paraId="277A68D3" w14:textId="4E7215E6" w:rsidR="00AD410E" w:rsidRDefault="00AD410E">
      <w:pPr>
        <w:pStyle w:val="FootnoteText"/>
      </w:pPr>
      <w:r>
        <w:rPr>
          <w:rStyle w:val="FootnoteReference"/>
        </w:rPr>
        <w:footnoteRef/>
      </w:r>
      <w:r>
        <w:t xml:space="preserve"> </w:t>
      </w:r>
      <w:r w:rsidR="00C54CC0">
        <w:t xml:space="preserve">AB 1705 (Irwin, 2022):  </w:t>
      </w:r>
      <w:hyperlink r:id="rId164" w:history="1">
        <w:r w:rsidR="00C54CC0" w:rsidRPr="00AC575A">
          <w:rPr>
            <w:rStyle w:val="Hyperlink"/>
          </w:rPr>
          <w:t>https://leginfo.legislature.ca.gov/faces/billNavClient.xhtml?bill_id=202120220AB1705</w:t>
        </w:r>
      </w:hyperlink>
    </w:p>
  </w:footnote>
  <w:footnote w:id="138">
    <w:p w14:paraId="661CBBF3" w14:textId="3E0D24BE" w:rsidR="005C61AE" w:rsidRPr="007747F9" w:rsidRDefault="005C61AE" w:rsidP="005C61AE">
      <w:pPr>
        <w:pStyle w:val="FootnoteText"/>
        <w:rPr>
          <w:rFonts w:cstheme="minorHAnsi"/>
        </w:rPr>
      </w:pPr>
      <w:r w:rsidRPr="007747F9">
        <w:rPr>
          <w:rStyle w:val="FootnoteReference"/>
          <w:rFonts w:cstheme="minorHAnsi"/>
        </w:rPr>
        <w:footnoteRef/>
      </w:r>
      <w:r w:rsidRPr="007747F9">
        <w:rPr>
          <w:rFonts w:cstheme="minorHAnsi"/>
        </w:rPr>
        <w:t xml:space="preserve"> February 27, 2024 CCCCO Guidance Memo </w:t>
      </w:r>
      <w:r w:rsidRPr="007747F9">
        <w:rPr>
          <w:rFonts w:cstheme="minorHAnsi"/>
          <w:color w:val="242424"/>
          <w:shd w:val="clear" w:color="auto" w:fill="FFFFFF"/>
        </w:rPr>
        <w:t>ESLIE 24-1</w:t>
      </w:r>
      <w:r w:rsidR="007747F9">
        <w:rPr>
          <w:rFonts w:cstheme="minorHAnsi"/>
          <w:color w:val="242424"/>
          <w:shd w:val="clear" w:color="auto" w:fill="FFFFFF"/>
        </w:rPr>
        <w:t xml:space="preserve">5: </w:t>
      </w:r>
      <w:hyperlink r:id="rId165" w:history="1">
        <w:r w:rsidR="007747F9" w:rsidRPr="0038133A">
          <w:rPr>
            <w:rStyle w:val="Hyperlink"/>
            <w:rFonts w:cstheme="minorHAnsi"/>
            <w:shd w:val="clear" w:color="auto" w:fill="FFFFFF"/>
          </w:rPr>
          <w:t>https://www.cccco.edu/-/media/CCCCO-Website/docs/memo/ESLEI-2415-AB-1705-Validation-of-Equitable-Placement-Support-and-Completion-Practices-for-STEM-Progr.pdf?la=en&amp;hash=60D9524BAD2695B8D34252BFFDA8CF8F4805F197</w:t>
        </w:r>
      </w:hyperlink>
    </w:p>
  </w:footnote>
  <w:footnote w:id="139">
    <w:p w14:paraId="45D226A6" w14:textId="01D89291" w:rsidR="0026337E" w:rsidRDefault="0026337E">
      <w:pPr>
        <w:pStyle w:val="FootnoteText"/>
      </w:pPr>
      <w:r>
        <w:rPr>
          <w:rStyle w:val="FootnoteReference"/>
        </w:rPr>
        <w:footnoteRef/>
      </w:r>
      <w:r>
        <w:t xml:space="preserve"> </w:t>
      </w:r>
      <w:r w:rsidR="000C2E61">
        <w:t xml:space="preserve">AB 1705 (Irwin, 2022): </w:t>
      </w:r>
      <w:hyperlink r:id="rId166" w:history="1">
        <w:r w:rsidR="000C2E61" w:rsidRPr="00875A81">
          <w:rPr>
            <w:rStyle w:val="Hyperlink"/>
          </w:rPr>
          <w:t>https://leginfo.legislature.ca.gov/faces/billNavClient.xhtml?bill_id=202120220AB1705</w:t>
        </w:r>
      </w:hyperlink>
    </w:p>
  </w:footnote>
  <w:footnote w:id="140">
    <w:p w14:paraId="4EA230A5" w14:textId="7FF059A4" w:rsidR="0021428D" w:rsidRDefault="0021428D">
      <w:pPr>
        <w:pStyle w:val="FootnoteText"/>
      </w:pPr>
      <w:r>
        <w:rPr>
          <w:rStyle w:val="FootnoteReference"/>
        </w:rPr>
        <w:footnoteRef/>
      </w:r>
      <w:r>
        <w:t xml:space="preserve"> </w:t>
      </w:r>
      <w:hyperlink r:id="rId167" w:history="1">
        <w:r w:rsidRPr="00AC575A">
          <w:rPr>
            <w:rStyle w:val="Hyperlink"/>
          </w:rPr>
          <w:t>https://www.cccco.edu/-/media/CCCCO-Website/docs/memo/ESLEI-2415-AB-1705-Validation-of-Equitable-Placement-Support-and-Completion-Practices-for-STEM-Progr.pdf?la=en&amp;hash=60D9524BAD2695B8D34252BFFDA8CF8F4805F197</w:t>
        </w:r>
      </w:hyperlink>
    </w:p>
  </w:footnote>
  <w:footnote w:id="141">
    <w:p w14:paraId="097687E1" w14:textId="6397E24F" w:rsidR="0001533B" w:rsidRDefault="0001533B">
      <w:pPr>
        <w:pStyle w:val="FootnoteText"/>
      </w:pPr>
      <w:r>
        <w:rPr>
          <w:rStyle w:val="FootnoteReference"/>
        </w:rPr>
        <w:footnoteRef/>
      </w:r>
      <w:r>
        <w:t xml:space="preserve"> </w:t>
      </w:r>
      <w:hyperlink r:id="rId168" w:history="1">
        <w:r w:rsidRPr="0038133A">
          <w:rPr>
            <w:rStyle w:val="Hyperlink"/>
          </w:rPr>
          <w:t>https://www.cccco.edu/-/media/CCCCO-Website/docs/memo/ESLEI-2415-AB-1705-Validation-of-Equitable-Placement-Support-and-Completion-Practices-for-STEM-Progr.pdf</w:t>
        </w:r>
      </w:hyperlink>
    </w:p>
  </w:footnote>
  <w:footnote w:id="142">
    <w:p w14:paraId="1117CA46" w14:textId="1D066DA2" w:rsidR="00C72C11" w:rsidRDefault="00C72C11">
      <w:pPr>
        <w:pStyle w:val="FootnoteText"/>
      </w:pPr>
      <w:r>
        <w:rPr>
          <w:rStyle w:val="FootnoteReference"/>
        </w:rPr>
        <w:footnoteRef/>
      </w:r>
      <w:r>
        <w:t xml:space="preserve"> </w:t>
      </w:r>
      <w:hyperlink r:id="rId169" w:history="1">
        <w:r w:rsidRPr="0038133A">
          <w:rPr>
            <w:rStyle w:val="Hyperlink"/>
          </w:rPr>
          <w:t>https://www.cccco.edu/-/media/CCCCO-Website/Files/Educational-Services-and-Support/ab-1705-implementation-guide-3-14-23-a11y.pdf</w:t>
        </w:r>
      </w:hyperlink>
      <w:r>
        <w:t xml:space="preserve"> </w:t>
      </w:r>
    </w:p>
  </w:footnote>
  <w:footnote w:id="143">
    <w:p w14:paraId="0EE9F119" w14:textId="1C5B6A16" w:rsidR="000C2E61" w:rsidRDefault="000C2E61">
      <w:pPr>
        <w:pStyle w:val="FootnoteText"/>
      </w:pPr>
      <w:r>
        <w:rPr>
          <w:rStyle w:val="FootnoteReference"/>
        </w:rPr>
        <w:footnoteRef/>
      </w:r>
      <w:r>
        <w:t xml:space="preserve"> AB 1705 (Irwin, 2022): </w:t>
      </w:r>
      <w:hyperlink r:id="rId170" w:history="1">
        <w:r w:rsidRPr="00875A81">
          <w:rPr>
            <w:rStyle w:val="Hyperlink"/>
          </w:rPr>
          <w:t>https://leginfo.legislature.ca.gov/faces/billNavClient.xhtml?bill_id=202120220AB1705</w:t>
        </w:r>
      </w:hyperlink>
    </w:p>
  </w:footnote>
  <w:footnote w:id="144">
    <w:p w14:paraId="07853441" w14:textId="77777777" w:rsidR="004376B5" w:rsidRDefault="004376B5" w:rsidP="004376B5">
      <w:pPr>
        <w:spacing w:after="0" w:line="240" w:lineRule="auto"/>
        <w:rPr>
          <w:sz w:val="20"/>
          <w:szCs w:val="20"/>
        </w:rPr>
      </w:pPr>
      <w:r>
        <w:rPr>
          <w:vertAlign w:val="superscript"/>
        </w:rPr>
        <w:footnoteRef/>
      </w:r>
      <w:r>
        <w:rPr>
          <w:sz w:val="20"/>
          <w:szCs w:val="20"/>
        </w:rPr>
        <w:t xml:space="preserve"> “The Importance of Defending the Free Speech Rights of Pro-Palestinian Students in Florida” </w:t>
      </w:r>
      <w:hyperlink r:id="rId171" w:anchor=":~:text=Recent%20actions%20by%20Florida%20officials,in%20Palestine%20(SJP)%20chapters">
        <w:r>
          <w:rPr>
            <w:color w:val="1155CC"/>
            <w:sz w:val="20"/>
            <w:szCs w:val="20"/>
            <w:u w:val="single"/>
          </w:rPr>
          <w:t>https://www.aclu.org/news/free-speech/defending-free-speech-students-justice-palestine-florida#:~:text=Recent%20actions%20by%20Florida%20officials,in%20Palestine%20(SJP)%20chapters</w:t>
        </w:r>
      </w:hyperlink>
      <w:r>
        <w:rPr>
          <w:sz w:val="20"/>
          <w:szCs w:val="20"/>
        </w:rPr>
        <w:t>.</w:t>
      </w:r>
    </w:p>
  </w:footnote>
  <w:footnote w:id="145">
    <w:p w14:paraId="1C3261AE" w14:textId="77777777" w:rsidR="004376B5" w:rsidRDefault="004376B5" w:rsidP="004376B5">
      <w:pPr>
        <w:spacing w:after="0" w:line="240" w:lineRule="auto"/>
        <w:rPr>
          <w:sz w:val="20"/>
          <w:szCs w:val="20"/>
        </w:rPr>
      </w:pPr>
      <w:r>
        <w:rPr>
          <w:vertAlign w:val="superscript"/>
        </w:rPr>
        <w:footnoteRef/>
      </w:r>
      <w:r>
        <w:rPr>
          <w:sz w:val="20"/>
          <w:szCs w:val="20"/>
        </w:rPr>
        <w:t xml:space="preserve"> “A Dangerous Conflation: An open letter from Jewish writers”</w:t>
      </w:r>
    </w:p>
    <w:p w14:paraId="53DA0F4D" w14:textId="77777777" w:rsidR="004376B5" w:rsidRDefault="00000000" w:rsidP="004376B5">
      <w:pPr>
        <w:spacing w:after="0" w:line="240" w:lineRule="auto"/>
        <w:rPr>
          <w:sz w:val="20"/>
          <w:szCs w:val="20"/>
        </w:rPr>
      </w:pPr>
      <w:hyperlink r:id="rId172">
        <w:r w:rsidR="004376B5">
          <w:rPr>
            <w:color w:val="1155CC"/>
            <w:sz w:val="20"/>
            <w:szCs w:val="20"/>
            <w:u w:val="single"/>
          </w:rPr>
          <w:t>https://www.nplusonemag.com/online-only/online-only/a-dangerous-conflation/?affid=x</w:t>
        </w:r>
      </w:hyperlink>
      <w:r w:rsidR="004376B5">
        <w:rPr>
          <w:sz w:val="20"/>
          <w:szCs w:val="20"/>
        </w:rPr>
        <w:t xml:space="preserve"> </w:t>
      </w:r>
    </w:p>
  </w:footnote>
  <w:footnote w:id="146">
    <w:p w14:paraId="6F89D490" w14:textId="77777777" w:rsidR="004376B5" w:rsidRDefault="004376B5" w:rsidP="004376B5">
      <w:pPr>
        <w:spacing w:after="0" w:line="240" w:lineRule="auto"/>
        <w:rPr>
          <w:sz w:val="20"/>
          <w:szCs w:val="20"/>
        </w:rPr>
      </w:pPr>
      <w:r>
        <w:rPr>
          <w:vertAlign w:val="superscript"/>
        </w:rPr>
        <w:footnoteRef/>
      </w:r>
      <w:r>
        <w:rPr>
          <w:sz w:val="20"/>
          <w:szCs w:val="20"/>
        </w:rPr>
        <w:t xml:space="preserve"> “On Anti-Zionism and Antisemitism. A ‘non-Jewish’ Jewish perspective”</w:t>
      </w:r>
    </w:p>
    <w:p w14:paraId="15AC7F1E" w14:textId="77777777" w:rsidR="004376B5" w:rsidRDefault="00000000" w:rsidP="004376B5">
      <w:pPr>
        <w:spacing w:after="0" w:line="240" w:lineRule="auto"/>
        <w:rPr>
          <w:sz w:val="20"/>
          <w:szCs w:val="20"/>
        </w:rPr>
      </w:pPr>
      <w:hyperlink r:id="rId173">
        <w:r w:rsidR="004376B5">
          <w:rPr>
            <w:color w:val="1155CC"/>
            <w:sz w:val="20"/>
            <w:szCs w:val="20"/>
            <w:u w:val="single"/>
          </w:rPr>
          <w:t>https://www.thenation.com/article/world/antisemitism-palestine-israel-gaza/</w:t>
        </w:r>
      </w:hyperlink>
      <w:r w:rsidR="004376B5">
        <w:rPr>
          <w:sz w:val="20"/>
          <w:szCs w:val="20"/>
        </w:rPr>
        <w:t xml:space="preserve"> </w:t>
      </w:r>
    </w:p>
  </w:footnote>
  <w:footnote w:id="147">
    <w:p w14:paraId="15955D78" w14:textId="77777777" w:rsidR="004376B5" w:rsidRDefault="004376B5" w:rsidP="004376B5">
      <w:pPr>
        <w:spacing w:after="0" w:line="240" w:lineRule="auto"/>
        <w:rPr>
          <w:sz w:val="20"/>
          <w:szCs w:val="20"/>
        </w:rPr>
      </w:pPr>
      <w:r>
        <w:rPr>
          <w:vertAlign w:val="superscript"/>
        </w:rPr>
        <w:footnoteRef/>
      </w:r>
      <w:r>
        <w:rPr>
          <w:sz w:val="20"/>
          <w:szCs w:val="20"/>
        </w:rPr>
        <w:t xml:space="preserve"> “On Antisemitism, Anti-Zionism and Dangerous Conflations”</w:t>
      </w:r>
    </w:p>
    <w:p w14:paraId="1E2F8795" w14:textId="77777777" w:rsidR="004376B5" w:rsidRDefault="00000000" w:rsidP="004376B5">
      <w:pPr>
        <w:spacing w:after="0" w:line="240" w:lineRule="auto"/>
        <w:rPr>
          <w:sz w:val="20"/>
          <w:szCs w:val="20"/>
        </w:rPr>
      </w:pPr>
      <w:hyperlink r:id="rId174">
        <w:r w:rsidR="004376B5">
          <w:rPr>
            <w:color w:val="1155CC"/>
            <w:sz w:val="20"/>
            <w:szCs w:val="20"/>
            <w:u w:val="single"/>
          </w:rPr>
          <w:t>https://www.jewishvoiceforpeace.org/2023/11/09/antisemitism-dangerous/</w:t>
        </w:r>
      </w:hyperlink>
      <w:r w:rsidR="004376B5">
        <w:rPr>
          <w:sz w:val="20"/>
          <w:szCs w:val="20"/>
        </w:rPr>
        <w:t xml:space="preserve"> </w:t>
      </w:r>
    </w:p>
  </w:footnote>
  <w:footnote w:id="148">
    <w:p w14:paraId="20712171" w14:textId="77777777" w:rsidR="004376B5" w:rsidRDefault="004376B5" w:rsidP="004376B5">
      <w:pPr>
        <w:spacing w:after="0" w:line="240" w:lineRule="auto"/>
        <w:rPr>
          <w:sz w:val="20"/>
          <w:szCs w:val="20"/>
        </w:rPr>
      </w:pPr>
      <w:r>
        <w:rPr>
          <w:vertAlign w:val="superscript"/>
        </w:rPr>
        <w:footnoteRef/>
      </w:r>
      <w:r>
        <w:rPr>
          <w:sz w:val="20"/>
          <w:szCs w:val="20"/>
        </w:rPr>
        <w:t xml:space="preserve"> “The Jerusalem Declaration On Antisemitism”</w:t>
      </w:r>
    </w:p>
    <w:p w14:paraId="2F1CBC60" w14:textId="77777777" w:rsidR="004376B5" w:rsidRDefault="00000000" w:rsidP="004376B5">
      <w:pPr>
        <w:spacing w:after="0" w:line="240" w:lineRule="auto"/>
        <w:rPr>
          <w:sz w:val="20"/>
          <w:szCs w:val="20"/>
        </w:rPr>
      </w:pPr>
      <w:hyperlink r:id="rId175">
        <w:r w:rsidR="004376B5">
          <w:rPr>
            <w:color w:val="1155CC"/>
            <w:sz w:val="20"/>
            <w:szCs w:val="20"/>
            <w:u w:val="single"/>
          </w:rPr>
          <w:t>https://jerusalemdeclaration.org/</w:t>
        </w:r>
      </w:hyperlink>
      <w:r w:rsidR="004376B5">
        <w:rPr>
          <w:sz w:val="20"/>
          <w:szCs w:val="20"/>
        </w:rPr>
        <w:t xml:space="preserve"> </w:t>
      </w:r>
    </w:p>
  </w:footnote>
  <w:footnote w:id="149">
    <w:p w14:paraId="7C737DEC" w14:textId="1170722D" w:rsidR="004376B5" w:rsidRDefault="004376B5" w:rsidP="004376B5">
      <w:pPr>
        <w:spacing w:after="0" w:line="240" w:lineRule="auto"/>
        <w:rPr>
          <w:sz w:val="20"/>
          <w:szCs w:val="20"/>
        </w:rPr>
      </w:pPr>
      <w:r>
        <w:rPr>
          <w:vertAlign w:val="superscript"/>
        </w:rPr>
        <w:footnoteRef/>
      </w:r>
      <w:r>
        <w:rPr>
          <w:sz w:val="20"/>
          <w:szCs w:val="20"/>
        </w:rPr>
        <w:t xml:space="preserve"> </w:t>
      </w:r>
      <w:r w:rsidR="00A90C2B">
        <w:rPr>
          <w:sz w:val="20"/>
          <w:szCs w:val="20"/>
        </w:rPr>
        <w:t xml:space="preserve">SB 1287 (Glazer, 2024): </w:t>
      </w:r>
      <w:r>
        <w:rPr>
          <w:sz w:val="20"/>
          <w:szCs w:val="20"/>
        </w:rPr>
        <w:t xml:space="preserve"> </w:t>
      </w:r>
      <w:hyperlink r:id="rId176" w:history="1">
        <w:r w:rsidR="00A90C2B" w:rsidRPr="00A421D9">
          <w:rPr>
            <w:rStyle w:val="Hyperlink"/>
            <w:sz w:val="20"/>
            <w:szCs w:val="20"/>
          </w:rPr>
          <w:t>https://leginfo.legislature.ca.gov/faces/billNavClient.xhtml?bill_id=202320240SB1287</w:t>
        </w:r>
      </w:hyperlink>
      <w:r w:rsidR="00A90C2B">
        <w:rPr>
          <w:sz w:val="20"/>
          <w:szCs w:val="20"/>
        </w:rPr>
        <w:t xml:space="preserve"> </w:t>
      </w:r>
    </w:p>
  </w:footnote>
  <w:footnote w:id="150">
    <w:p w14:paraId="75B2B8C6" w14:textId="77777777" w:rsidR="004376B5" w:rsidRDefault="004376B5" w:rsidP="004376B5">
      <w:pPr>
        <w:spacing w:after="0" w:line="240" w:lineRule="auto"/>
        <w:rPr>
          <w:sz w:val="20"/>
          <w:szCs w:val="20"/>
        </w:rPr>
      </w:pPr>
      <w:r>
        <w:rPr>
          <w:vertAlign w:val="superscript"/>
        </w:rPr>
        <w:footnoteRef/>
      </w:r>
      <w:r>
        <w:rPr>
          <w:sz w:val="20"/>
          <w:szCs w:val="20"/>
        </w:rPr>
        <w:t xml:space="preserve"> “ACLU Open Letter to Colleges and Universities: Reject Efforts to Restrict Constitutionally Protected Speech on Campuses” </w:t>
      </w:r>
      <w:hyperlink r:id="rId177">
        <w:r>
          <w:rPr>
            <w:color w:val="1155CC"/>
            <w:sz w:val="20"/>
            <w:szCs w:val="20"/>
            <w:u w:val="single"/>
          </w:rPr>
          <w:t>https://www.aclu.org/press-releases/aclu-open-letter-to-colleges-and-universities-reject-efforts-to-restrict-constitutionally-protected-speech-on-campuses</w:t>
        </w:r>
      </w:hyperlink>
    </w:p>
  </w:footnote>
  <w:footnote w:id="151">
    <w:p w14:paraId="64676F73" w14:textId="77777777" w:rsidR="004376B5" w:rsidRDefault="004376B5" w:rsidP="004376B5">
      <w:pPr>
        <w:spacing w:after="0" w:line="240" w:lineRule="auto"/>
        <w:rPr>
          <w:sz w:val="20"/>
          <w:szCs w:val="20"/>
        </w:rPr>
      </w:pPr>
      <w:r>
        <w:rPr>
          <w:vertAlign w:val="superscript"/>
        </w:rPr>
        <w:footnoteRef/>
      </w:r>
      <w:r>
        <w:rPr>
          <w:sz w:val="20"/>
          <w:szCs w:val="20"/>
        </w:rPr>
        <w:t xml:space="preserve"> “MLA Delegates Pass Motion </w:t>
      </w:r>
      <w:r w:rsidRPr="00DD044D">
        <w:rPr>
          <w:sz w:val="20"/>
          <w:szCs w:val="20"/>
        </w:rPr>
        <w:t>Defending</w:t>
      </w:r>
      <w:r>
        <w:rPr>
          <w:sz w:val="20"/>
          <w:szCs w:val="20"/>
        </w:rPr>
        <w:t xml:space="preserve"> Pro-Palestinian Speech” </w:t>
      </w:r>
      <w:hyperlink r:id="rId178" w:anchor=":~:text=The%20victorious%20statement%20asks%20the,who%20have%20%E2%80%9Ccondemned%20the%20Israeli">
        <w:r>
          <w:rPr>
            <w:color w:val="1155CC"/>
            <w:sz w:val="20"/>
            <w:szCs w:val="20"/>
            <w:u w:val="single"/>
          </w:rPr>
          <w:t>https://www.insidehighered.com/news/faculty-issues/academic-freedom/2024/01/08/mla-delegates-pass-motion-defending-pro-palestine#:~:text=The%20victorious%20statement%20asks%20the,who%20have%20%E2%80%9Ccondemned%20the%20Israeli</w:t>
        </w:r>
      </w:hyperlink>
    </w:p>
  </w:footnote>
  <w:footnote w:id="152">
    <w:p w14:paraId="6F2B81CA" w14:textId="77777777" w:rsidR="004376B5" w:rsidRDefault="004376B5" w:rsidP="004376B5">
      <w:pPr>
        <w:spacing w:after="0" w:line="240" w:lineRule="auto"/>
        <w:rPr>
          <w:sz w:val="20"/>
          <w:szCs w:val="20"/>
        </w:rPr>
      </w:pPr>
      <w:r>
        <w:rPr>
          <w:vertAlign w:val="superscript"/>
        </w:rPr>
        <w:footnoteRef/>
      </w:r>
      <w:r>
        <w:rPr>
          <w:sz w:val="20"/>
          <w:szCs w:val="20"/>
        </w:rPr>
        <w:t xml:space="preserve"> “Punishments Rise as Student Protests Escalate” </w:t>
      </w:r>
      <w:hyperlink r:id="rId179">
        <w:r>
          <w:rPr>
            <w:color w:val="1155CC"/>
            <w:sz w:val="20"/>
            <w:szCs w:val="20"/>
            <w:u w:val="single"/>
          </w:rPr>
          <w:t>https://www.insidehighered.com/news/students/free-speech/2024/04/15/punishments-rise-student-protests-escalate</w:t>
        </w:r>
      </w:hyperlink>
    </w:p>
  </w:footnote>
  <w:footnote w:id="153">
    <w:p w14:paraId="731F1B9D" w14:textId="7A427CDD" w:rsidR="004376B5" w:rsidRPr="002B51A2" w:rsidRDefault="004376B5" w:rsidP="002B51A2">
      <w:pPr>
        <w:spacing w:after="0" w:line="240" w:lineRule="auto"/>
        <w:rPr>
          <w:sz w:val="20"/>
          <w:szCs w:val="20"/>
        </w:rPr>
      </w:pPr>
      <w:r>
        <w:rPr>
          <w:rStyle w:val="FootnoteReference"/>
        </w:rPr>
        <w:footnoteRef/>
      </w:r>
      <w:r>
        <w:t xml:space="preserve"> </w:t>
      </w:r>
      <w:r w:rsidR="00E3544C">
        <w:rPr>
          <w:sz w:val="20"/>
          <w:szCs w:val="20"/>
        </w:rPr>
        <w:t xml:space="preserve">SB 1287 (Glazer, 2024):  </w:t>
      </w:r>
      <w:hyperlink r:id="rId180" w:history="1">
        <w:r w:rsidR="00E3544C" w:rsidRPr="00A421D9">
          <w:rPr>
            <w:rStyle w:val="Hyperlink"/>
            <w:sz w:val="20"/>
            <w:szCs w:val="20"/>
          </w:rPr>
          <w:t>https://leginfo.legislature.ca.gov/faces/billNavClient.xhtml?bill_id=202320240SB1287</w:t>
        </w:r>
      </w:hyperlink>
      <w:r w:rsidR="00E3544C">
        <w:rPr>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8651C"/>
    <w:multiLevelType w:val="hybridMultilevel"/>
    <w:tmpl w:val="51F21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144FB"/>
    <w:multiLevelType w:val="multilevel"/>
    <w:tmpl w:val="07580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444186"/>
    <w:multiLevelType w:val="hybridMultilevel"/>
    <w:tmpl w:val="F3A4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A760CC"/>
    <w:multiLevelType w:val="hybridMultilevel"/>
    <w:tmpl w:val="652CBD4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3EC602C8"/>
    <w:multiLevelType w:val="multilevel"/>
    <w:tmpl w:val="C2D84F3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5" w15:restartNumberingAfterBreak="0">
    <w:nsid w:val="4C772F3B"/>
    <w:multiLevelType w:val="multilevel"/>
    <w:tmpl w:val="73FACBC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5A745924"/>
    <w:multiLevelType w:val="hybridMultilevel"/>
    <w:tmpl w:val="904AE89C"/>
    <w:lvl w:ilvl="0" w:tplc="0472F78E">
      <w:start w:val="10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8A68DE"/>
    <w:multiLevelType w:val="multilevel"/>
    <w:tmpl w:val="9A289C8C"/>
    <w:lvl w:ilvl="0">
      <w:start w:val="1"/>
      <w:numFmt w:val="decimal"/>
      <w:lvlText w:val="%1."/>
      <w:lvlJc w:val="left"/>
      <w:pPr>
        <w:ind w:left="720" w:hanging="360"/>
      </w:pPr>
      <w:rPr>
        <w:rFonts w:ascii="Arial" w:eastAsia="Arial" w:hAnsi="Arial" w:cs="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6C22183E"/>
    <w:multiLevelType w:val="hybridMultilevel"/>
    <w:tmpl w:val="63205C70"/>
    <w:lvl w:ilvl="0" w:tplc="0409000F">
      <w:start w:val="1"/>
      <w:numFmt w:val="decimal"/>
      <w:lvlText w:val="%1."/>
      <w:lvlJc w:val="left"/>
      <w:pPr>
        <w:ind w:left="720" w:hanging="360"/>
      </w:pPr>
      <w:rPr>
        <w:rFonts w:hint="default"/>
      </w:rPr>
    </w:lvl>
    <w:lvl w:ilvl="1" w:tplc="C1D6A06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F06FF5"/>
    <w:multiLevelType w:val="multilevel"/>
    <w:tmpl w:val="A7EA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4862786">
    <w:abstractNumId w:val="4"/>
  </w:num>
  <w:num w:numId="2" w16cid:durableId="1798983664">
    <w:abstractNumId w:val="5"/>
  </w:num>
  <w:num w:numId="3" w16cid:durableId="134614941">
    <w:abstractNumId w:val="1"/>
  </w:num>
  <w:num w:numId="4" w16cid:durableId="902058933">
    <w:abstractNumId w:val="9"/>
  </w:num>
  <w:num w:numId="5" w16cid:durableId="192159251">
    <w:abstractNumId w:val="3"/>
  </w:num>
  <w:num w:numId="6" w16cid:durableId="470639022">
    <w:abstractNumId w:val="2"/>
  </w:num>
  <w:num w:numId="7" w16cid:durableId="1451243558">
    <w:abstractNumId w:val="6"/>
  </w:num>
  <w:num w:numId="8" w16cid:durableId="1924341588">
    <w:abstractNumId w:val="8"/>
  </w:num>
  <w:num w:numId="9" w16cid:durableId="113404378">
    <w:abstractNumId w:val="0"/>
  </w:num>
  <w:num w:numId="10" w16cid:durableId="13995527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FFC"/>
    <w:rsid w:val="00000C28"/>
    <w:rsid w:val="000011CB"/>
    <w:rsid w:val="0000507C"/>
    <w:rsid w:val="00007E3C"/>
    <w:rsid w:val="00010825"/>
    <w:rsid w:val="00013D96"/>
    <w:rsid w:val="00014A12"/>
    <w:rsid w:val="00014B8A"/>
    <w:rsid w:val="0001533B"/>
    <w:rsid w:val="000157B5"/>
    <w:rsid w:val="00015D61"/>
    <w:rsid w:val="0002174A"/>
    <w:rsid w:val="00031DB3"/>
    <w:rsid w:val="000404C4"/>
    <w:rsid w:val="00040D72"/>
    <w:rsid w:val="000412C1"/>
    <w:rsid w:val="00041CDF"/>
    <w:rsid w:val="0004301E"/>
    <w:rsid w:val="000454D5"/>
    <w:rsid w:val="000475D4"/>
    <w:rsid w:val="000534CE"/>
    <w:rsid w:val="00053842"/>
    <w:rsid w:val="00054154"/>
    <w:rsid w:val="00056C5C"/>
    <w:rsid w:val="00061F3F"/>
    <w:rsid w:val="000639C3"/>
    <w:rsid w:val="00066B8B"/>
    <w:rsid w:val="00067852"/>
    <w:rsid w:val="0007064E"/>
    <w:rsid w:val="00072E38"/>
    <w:rsid w:val="00073325"/>
    <w:rsid w:val="000760DF"/>
    <w:rsid w:val="00081EA5"/>
    <w:rsid w:val="00083726"/>
    <w:rsid w:val="0008435E"/>
    <w:rsid w:val="00086623"/>
    <w:rsid w:val="000876A9"/>
    <w:rsid w:val="00087C3B"/>
    <w:rsid w:val="00091509"/>
    <w:rsid w:val="00091D07"/>
    <w:rsid w:val="00094C32"/>
    <w:rsid w:val="00094E92"/>
    <w:rsid w:val="00096A62"/>
    <w:rsid w:val="00096ADA"/>
    <w:rsid w:val="000A070E"/>
    <w:rsid w:val="000A40F3"/>
    <w:rsid w:val="000A4EFD"/>
    <w:rsid w:val="000A65B8"/>
    <w:rsid w:val="000A750A"/>
    <w:rsid w:val="000B00CD"/>
    <w:rsid w:val="000B04FA"/>
    <w:rsid w:val="000B2DAC"/>
    <w:rsid w:val="000C1084"/>
    <w:rsid w:val="000C165B"/>
    <w:rsid w:val="000C2E61"/>
    <w:rsid w:val="000C3CFA"/>
    <w:rsid w:val="000C6BA1"/>
    <w:rsid w:val="000C7CE6"/>
    <w:rsid w:val="000D78AE"/>
    <w:rsid w:val="000E037B"/>
    <w:rsid w:val="000E3482"/>
    <w:rsid w:val="000E4622"/>
    <w:rsid w:val="000E4C09"/>
    <w:rsid w:val="000E589C"/>
    <w:rsid w:val="000E62F7"/>
    <w:rsid w:val="000E692C"/>
    <w:rsid w:val="000F129A"/>
    <w:rsid w:val="000F54ED"/>
    <w:rsid w:val="000F7BB8"/>
    <w:rsid w:val="001023B0"/>
    <w:rsid w:val="00102AEC"/>
    <w:rsid w:val="00103375"/>
    <w:rsid w:val="001042B5"/>
    <w:rsid w:val="00104702"/>
    <w:rsid w:val="00104EF3"/>
    <w:rsid w:val="00106AFD"/>
    <w:rsid w:val="0010783F"/>
    <w:rsid w:val="001110BF"/>
    <w:rsid w:val="001121AB"/>
    <w:rsid w:val="00112629"/>
    <w:rsid w:val="001132EC"/>
    <w:rsid w:val="00120256"/>
    <w:rsid w:val="001249EA"/>
    <w:rsid w:val="001320D6"/>
    <w:rsid w:val="001332CC"/>
    <w:rsid w:val="001344B1"/>
    <w:rsid w:val="00134CCE"/>
    <w:rsid w:val="00134F79"/>
    <w:rsid w:val="0013728B"/>
    <w:rsid w:val="001377D1"/>
    <w:rsid w:val="00137B6F"/>
    <w:rsid w:val="00137FD7"/>
    <w:rsid w:val="00140866"/>
    <w:rsid w:val="0014141D"/>
    <w:rsid w:val="0014270A"/>
    <w:rsid w:val="00145797"/>
    <w:rsid w:val="00147400"/>
    <w:rsid w:val="001476D9"/>
    <w:rsid w:val="001506ED"/>
    <w:rsid w:val="001509B5"/>
    <w:rsid w:val="00151A29"/>
    <w:rsid w:val="00151F50"/>
    <w:rsid w:val="00153BC1"/>
    <w:rsid w:val="00154B46"/>
    <w:rsid w:val="00161481"/>
    <w:rsid w:val="001648C0"/>
    <w:rsid w:val="00171015"/>
    <w:rsid w:val="001739AD"/>
    <w:rsid w:val="00173A8C"/>
    <w:rsid w:val="001755D3"/>
    <w:rsid w:val="00175FCC"/>
    <w:rsid w:val="00176D01"/>
    <w:rsid w:val="00176E11"/>
    <w:rsid w:val="00180D26"/>
    <w:rsid w:val="00182DF3"/>
    <w:rsid w:val="00187AE6"/>
    <w:rsid w:val="001935BB"/>
    <w:rsid w:val="0019459C"/>
    <w:rsid w:val="0019586D"/>
    <w:rsid w:val="00195DC3"/>
    <w:rsid w:val="00196791"/>
    <w:rsid w:val="001A101E"/>
    <w:rsid w:val="001A2A1B"/>
    <w:rsid w:val="001A3BFD"/>
    <w:rsid w:val="001A4B68"/>
    <w:rsid w:val="001A5642"/>
    <w:rsid w:val="001A6335"/>
    <w:rsid w:val="001A6DEA"/>
    <w:rsid w:val="001B46EC"/>
    <w:rsid w:val="001B5180"/>
    <w:rsid w:val="001C3935"/>
    <w:rsid w:val="001C4074"/>
    <w:rsid w:val="001C5635"/>
    <w:rsid w:val="001D0649"/>
    <w:rsid w:val="001D0CD9"/>
    <w:rsid w:val="001D17F6"/>
    <w:rsid w:val="001D7103"/>
    <w:rsid w:val="001D7A89"/>
    <w:rsid w:val="001E45FA"/>
    <w:rsid w:val="001E660D"/>
    <w:rsid w:val="001E6EBC"/>
    <w:rsid w:val="001F0E22"/>
    <w:rsid w:val="001F43C7"/>
    <w:rsid w:val="001F5B91"/>
    <w:rsid w:val="001F726A"/>
    <w:rsid w:val="001F7A84"/>
    <w:rsid w:val="00203294"/>
    <w:rsid w:val="002035C4"/>
    <w:rsid w:val="00205FED"/>
    <w:rsid w:val="002064CE"/>
    <w:rsid w:val="0021043E"/>
    <w:rsid w:val="0021428D"/>
    <w:rsid w:val="00214661"/>
    <w:rsid w:val="00220318"/>
    <w:rsid w:val="002210CE"/>
    <w:rsid w:val="00224D26"/>
    <w:rsid w:val="002252E8"/>
    <w:rsid w:val="00226591"/>
    <w:rsid w:val="002266D3"/>
    <w:rsid w:val="00230A5C"/>
    <w:rsid w:val="00232D58"/>
    <w:rsid w:val="00233F79"/>
    <w:rsid w:val="0023412A"/>
    <w:rsid w:val="00240D9B"/>
    <w:rsid w:val="00241214"/>
    <w:rsid w:val="00241D55"/>
    <w:rsid w:val="00242C05"/>
    <w:rsid w:val="00244292"/>
    <w:rsid w:val="002445BA"/>
    <w:rsid w:val="00245C2D"/>
    <w:rsid w:val="00250634"/>
    <w:rsid w:val="00250CCB"/>
    <w:rsid w:val="00252329"/>
    <w:rsid w:val="002531D9"/>
    <w:rsid w:val="0025493C"/>
    <w:rsid w:val="00261562"/>
    <w:rsid w:val="0026166D"/>
    <w:rsid w:val="00262159"/>
    <w:rsid w:val="0026337E"/>
    <w:rsid w:val="00264B66"/>
    <w:rsid w:val="00265232"/>
    <w:rsid w:val="002714E9"/>
    <w:rsid w:val="00271518"/>
    <w:rsid w:val="002728FE"/>
    <w:rsid w:val="002822B6"/>
    <w:rsid w:val="0028608C"/>
    <w:rsid w:val="00286AA0"/>
    <w:rsid w:val="00287FF1"/>
    <w:rsid w:val="0029173C"/>
    <w:rsid w:val="00292755"/>
    <w:rsid w:val="00294B9C"/>
    <w:rsid w:val="002950E6"/>
    <w:rsid w:val="00295A7E"/>
    <w:rsid w:val="00296554"/>
    <w:rsid w:val="002A782C"/>
    <w:rsid w:val="002B269B"/>
    <w:rsid w:val="002B3A64"/>
    <w:rsid w:val="002B51A2"/>
    <w:rsid w:val="002B5306"/>
    <w:rsid w:val="002B55A2"/>
    <w:rsid w:val="002C2DD6"/>
    <w:rsid w:val="002C6BE0"/>
    <w:rsid w:val="002D525C"/>
    <w:rsid w:val="002D6306"/>
    <w:rsid w:val="002D6445"/>
    <w:rsid w:val="002D7486"/>
    <w:rsid w:val="002E33E6"/>
    <w:rsid w:val="002E4291"/>
    <w:rsid w:val="002E6A29"/>
    <w:rsid w:val="002E78A5"/>
    <w:rsid w:val="002E7D7F"/>
    <w:rsid w:val="002F3C69"/>
    <w:rsid w:val="002F5C81"/>
    <w:rsid w:val="00302089"/>
    <w:rsid w:val="00302C08"/>
    <w:rsid w:val="0030343D"/>
    <w:rsid w:val="00306589"/>
    <w:rsid w:val="003103A8"/>
    <w:rsid w:val="0031148E"/>
    <w:rsid w:val="00312558"/>
    <w:rsid w:val="00312FB9"/>
    <w:rsid w:val="00314E0A"/>
    <w:rsid w:val="00316982"/>
    <w:rsid w:val="00316D59"/>
    <w:rsid w:val="003173A3"/>
    <w:rsid w:val="00322C98"/>
    <w:rsid w:val="00323B12"/>
    <w:rsid w:val="00323B27"/>
    <w:rsid w:val="003242FA"/>
    <w:rsid w:val="0032718B"/>
    <w:rsid w:val="00327F7B"/>
    <w:rsid w:val="00332F39"/>
    <w:rsid w:val="0033352B"/>
    <w:rsid w:val="00333FBD"/>
    <w:rsid w:val="00335308"/>
    <w:rsid w:val="00336C6D"/>
    <w:rsid w:val="00337596"/>
    <w:rsid w:val="00343BAD"/>
    <w:rsid w:val="003467F2"/>
    <w:rsid w:val="00346F28"/>
    <w:rsid w:val="0035357E"/>
    <w:rsid w:val="00356E31"/>
    <w:rsid w:val="00360C4E"/>
    <w:rsid w:val="003620BA"/>
    <w:rsid w:val="003660F9"/>
    <w:rsid w:val="003663DB"/>
    <w:rsid w:val="00374C3D"/>
    <w:rsid w:val="00374DAF"/>
    <w:rsid w:val="003815D7"/>
    <w:rsid w:val="0038338E"/>
    <w:rsid w:val="003838F6"/>
    <w:rsid w:val="00384FC5"/>
    <w:rsid w:val="00393678"/>
    <w:rsid w:val="00393F96"/>
    <w:rsid w:val="0039535B"/>
    <w:rsid w:val="003968CE"/>
    <w:rsid w:val="00397616"/>
    <w:rsid w:val="00397738"/>
    <w:rsid w:val="003A17C7"/>
    <w:rsid w:val="003A6315"/>
    <w:rsid w:val="003A72C4"/>
    <w:rsid w:val="003B1BAA"/>
    <w:rsid w:val="003B4267"/>
    <w:rsid w:val="003B6667"/>
    <w:rsid w:val="003B678A"/>
    <w:rsid w:val="003B6AA7"/>
    <w:rsid w:val="003C15C2"/>
    <w:rsid w:val="003C2712"/>
    <w:rsid w:val="003C2D16"/>
    <w:rsid w:val="003C4D63"/>
    <w:rsid w:val="003C52C3"/>
    <w:rsid w:val="003C562B"/>
    <w:rsid w:val="003D1764"/>
    <w:rsid w:val="003D43ED"/>
    <w:rsid w:val="003E0A48"/>
    <w:rsid w:val="003E0C6E"/>
    <w:rsid w:val="003E2F92"/>
    <w:rsid w:val="003E3C23"/>
    <w:rsid w:val="00401D19"/>
    <w:rsid w:val="00403AAF"/>
    <w:rsid w:val="00407C27"/>
    <w:rsid w:val="00410AF6"/>
    <w:rsid w:val="004111B4"/>
    <w:rsid w:val="004124F5"/>
    <w:rsid w:val="00413521"/>
    <w:rsid w:val="00414850"/>
    <w:rsid w:val="00414D18"/>
    <w:rsid w:val="0042054F"/>
    <w:rsid w:val="004255DB"/>
    <w:rsid w:val="0042771F"/>
    <w:rsid w:val="00432813"/>
    <w:rsid w:val="00433C3A"/>
    <w:rsid w:val="004376B5"/>
    <w:rsid w:val="00437F1A"/>
    <w:rsid w:val="0044209B"/>
    <w:rsid w:val="00445FC8"/>
    <w:rsid w:val="00447B60"/>
    <w:rsid w:val="0045298C"/>
    <w:rsid w:val="00453C47"/>
    <w:rsid w:val="00457040"/>
    <w:rsid w:val="004606D9"/>
    <w:rsid w:val="0046286D"/>
    <w:rsid w:val="00464C9D"/>
    <w:rsid w:val="004661B0"/>
    <w:rsid w:val="00475AFF"/>
    <w:rsid w:val="004761F2"/>
    <w:rsid w:val="004769D4"/>
    <w:rsid w:val="0048003E"/>
    <w:rsid w:val="004826C6"/>
    <w:rsid w:val="004846C7"/>
    <w:rsid w:val="00487024"/>
    <w:rsid w:val="004879B3"/>
    <w:rsid w:val="004927E7"/>
    <w:rsid w:val="00492E4D"/>
    <w:rsid w:val="00494F1B"/>
    <w:rsid w:val="004963DB"/>
    <w:rsid w:val="00496AED"/>
    <w:rsid w:val="00496C5C"/>
    <w:rsid w:val="00496D51"/>
    <w:rsid w:val="004972DE"/>
    <w:rsid w:val="00497999"/>
    <w:rsid w:val="004A3600"/>
    <w:rsid w:val="004A5788"/>
    <w:rsid w:val="004A7B3C"/>
    <w:rsid w:val="004B3B9B"/>
    <w:rsid w:val="004C11F7"/>
    <w:rsid w:val="004C291F"/>
    <w:rsid w:val="004C3E07"/>
    <w:rsid w:val="004C3EFC"/>
    <w:rsid w:val="004C59F5"/>
    <w:rsid w:val="004C6065"/>
    <w:rsid w:val="004C6E4A"/>
    <w:rsid w:val="004C7F5F"/>
    <w:rsid w:val="004D1540"/>
    <w:rsid w:val="004D42F6"/>
    <w:rsid w:val="004E04EF"/>
    <w:rsid w:val="004E55BC"/>
    <w:rsid w:val="004E5AC5"/>
    <w:rsid w:val="004F1312"/>
    <w:rsid w:val="004F25D1"/>
    <w:rsid w:val="004F42DC"/>
    <w:rsid w:val="004F4CD7"/>
    <w:rsid w:val="004F6AD2"/>
    <w:rsid w:val="00500FD6"/>
    <w:rsid w:val="00501B7F"/>
    <w:rsid w:val="00502495"/>
    <w:rsid w:val="00503FE4"/>
    <w:rsid w:val="005054CE"/>
    <w:rsid w:val="00506269"/>
    <w:rsid w:val="00507BD7"/>
    <w:rsid w:val="00511AF5"/>
    <w:rsid w:val="00512026"/>
    <w:rsid w:val="0051396F"/>
    <w:rsid w:val="005150FD"/>
    <w:rsid w:val="00516FEF"/>
    <w:rsid w:val="00520212"/>
    <w:rsid w:val="00520B27"/>
    <w:rsid w:val="005211A1"/>
    <w:rsid w:val="00521D86"/>
    <w:rsid w:val="00522BC0"/>
    <w:rsid w:val="00522EDE"/>
    <w:rsid w:val="0052317A"/>
    <w:rsid w:val="00524362"/>
    <w:rsid w:val="005244FB"/>
    <w:rsid w:val="005270A5"/>
    <w:rsid w:val="00527D29"/>
    <w:rsid w:val="00532F15"/>
    <w:rsid w:val="00533FAB"/>
    <w:rsid w:val="00534CFD"/>
    <w:rsid w:val="00537632"/>
    <w:rsid w:val="00541D2E"/>
    <w:rsid w:val="00542C9B"/>
    <w:rsid w:val="00544632"/>
    <w:rsid w:val="005458AF"/>
    <w:rsid w:val="00547A29"/>
    <w:rsid w:val="0055273A"/>
    <w:rsid w:val="005532F5"/>
    <w:rsid w:val="00554DA6"/>
    <w:rsid w:val="00560487"/>
    <w:rsid w:val="0056176B"/>
    <w:rsid w:val="005645F4"/>
    <w:rsid w:val="00565CF7"/>
    <w:rsid w:val="00567F92"/>
    <w:rsid w:val="00570654"/>
    <w:rsid w:val="0057433C"/>
    <w:rsid w:val="005750D7"/>
    <w:rsid w:val="005804B6"/>
    <w:rsid w:val="00581318"/>
    <w:rsid w:val="00582DC2"/>
    <w:rsid w:val="00582E92"/>
    <w:rsid w:val="005836EF"/>
    <w:rsid w:val="005865BC"/>
    <w:rsid w:val="005911BF"/>
    <w:rsid w:val="0059152E"/>
    <w:rsid w:val="00596FF0"/>
    <w:rsid w:val="005A2864"/>
    <w:rsid w:val="005A5449"/>
    <w:rsid w:val="005A552A"/>
    <w:rsid w:val="005A7100"/>
    <w:rsid w:val="005A7611"/>
    <w:rsid w:val="005B0117"/>
    <w:rsid w:val="005B13F3"/>
    <w:rsid w:val="005B1AEA"/>
    <w:rsid w:val="005B3FE6"/>
    <w:rsid w:val="005B5038"/>
    <w:rsid w:val="005B68E5"/>
    <w:rsid w:val="005B71BC"/>
    <w:rsid w:val="005C1892"/>
    <w:rsid w:val="005C42ED"/>
    <w:rsid w:val="005C444F"/>
    <w:rsid w:val="005C589D"/>
    <w:rsid w:val="005C61AE"/>
    <w:rsid w:val="005D46B3"/>
    <w:rsid w:val="005D7597"/>
    <w:rsid w:val="005E039D"/>
    <w:rsid w:val="005E23F3"/>
    <w:rsid w:val="005E6474"/>
    <w:rsid w:val="005E6D4C"/>
    <w:rsid w:val="005F3EF1"/>
    <w:rsid w:val="005F533F"/>
    <w:rsid w:val="0060184A"/>
    <w:rsid w:val="00604C38"/>
    <w:rsid w:val="00604E14"/>
    <w:rsid w:val="0060573A"/>
    <w:rsid w:val="0060588A"/>
    <w:rsid w:val="00606845"/>
    <w:rsid w:val="00610C14"/>
    <w:rsid w:val="00612571"/>
    <w:rsid w:val="006137F9"/>
    <w:rsid w:val="00617583"/>
    <w:rsid w:val="006179ED"/>
    <w:rsid w:val="006210F9"/>
    <w:rsid w:val="006230A0"/>
    <w:rsid w:val="006234A7"/>
    <w:rsid w:val="00623DE7"/>
    <w:rsid w:val="0062622D"/>
    <w:rsid w:val="00630633"/>
    <w:rsid w:val="0063157F"/>
    <w:rsid w:val="00631902"/>
    <w:rsid w:val="00632E03"/>
    <w:rsid w:val="006344C0"/>
    <w:rsid w:val="0063570C"/>
    <w:rsid w:val="0063720F"/>
    <w:rsid w:val="00640F25"/>
    <w:rsid w:val="00641BA0"/>
    <w:rsid w:val="0064247C"/>
    <w:rsid w:val="006442E1"/>
    <w:rsid w:val="00644778"/>
    <w:rsid w:val="0065028B"/>
    <w:rsid w:val="00652948"/>
    <w:rsid w:val="00655469"/>
    <w:rsid w:val="00656C6D"/>
    <w:rsid w:val="006578CC"/>
    <w:rsid w:val="00661487"/>
    <w:rsid w:val="00662571"/>
    <w:rsid w:val="00667DD6"/>
    <w:rsid w:val="00672016"/>
    <w:rsid w:val="0067205C"/>
    <w:rsid w:val="0067498E"/>
    <w:rsid w:val="00675E01"/>
    <w:rsid w:val="00677E2A"/>
    <w:rsid w:val="00682A22"/>
    <w:rsid w:val="00684945"/>
    <w:rsid w:val="00684B5C"/>
    <w:rsid w:val="00687441"/>
    <w:rsid w:val="00690BE3"/>
    <w:rsid w:val="00692459"/>
    <w:rsid w:val="006A0063"/>
    <w:rsid w:val="006A0611"/>
    <w:rsid w:val="006A537D"/>
    <w:rsid w:val="006A60B7"/>
    <w:rsid w:val="006A6686"/>
    <w:rsid w:val="006A67E1"/>
    <w:rsid w:val="006A79A4"/>
    <w:rsid w:val="006B043B"/>
    <w:rsid w:val="006B33CC"/>
    <w:rsid w:val="006B4A90"/>
    <w:rsid w:val="006B66B4"/>
    <w:rsid w:val="006C0D95"/>
    <w:rsid w:val="006C1E55"/>
    <w:rsid w:val="006C3AF8"/>
    <w:rsid w:val="006C3F3F"/>
    <w:rsid w:val="006C6AD3"/>
    <w:rsid w:val="006C76F6"/>
    <w:rsid w:val="006C7875"/>
    <w:rsid w:val="006D3D9C"/>
    <w:rsid w:val="006D3E06"/>
    <w:rsid w:val="006E373B"/>
    <w:rsid w:val="006E5566"/>
    <w:rsid w:val="006E5C9D"/>
    <w:rsid w:val="006F77E1"/>
    <w:rsid w:val="00701397"/>
    <w:rsid w:val="0070532F"/>
    <w:rsid w:val="007054E2"/>
    <w:rsid w:val="007119FA"/>
    <w:rsid w:val="00712B5A"/>
    <w:rsid w:val="00714369"/>
    <w:rsid w:val="007212A4"/>
    <w:rsid w:val="00723744"/>
    <w:rsid w:val="00731FC2"/>
    <w:rsid w:val="0073665C"/>
    <w:rsid w:val="007377EE"/>
    <w:rsid w:val="00737C1E"/>
    <w:rsid w:val="007424E4"/>
    <w:rsid w:val="0074529B"/>
    <w:rsid w:val="00752138"/>
    <w:rsid w:val="00752B9C"/>
    <w:rsid w:val="0075353E"/>
    <w:rsid w:val="007538E9"/>
    <w:rsid w:val="00760057"/>
    <w:rsid w:val="00760607"/>
    <w:rsid w:val="007611E0"/>
    <w:rsid w:val="00762724"/>
    <w:rsid w:val="007634F5"/>
    <w:rsid w:val="007654F9"/>
    <w:rsid w:val="0076586E"/>
    <w:rsid w:val="00767511"/>
    <w:rsid w:val="007728BE"/>
    <w:rsid w:val="00773FE1"/>
    <w:rsid w:val="007747F9"/>
    <w:rsid w:val="00774F8A"/>
    <w:rsid w:val="00775B6A"/>
    <w:rsid w:val="00775D26"/>
    <w:rsid w:val="00785FE7"/>
    <w:rsid w:val="00791455"/>
    <w:rsid w:val="00791636"/>
    <w:rsid w:val="00794149"/>
    <w:rsid w:val="00795E5E"/>
    <w:rsid w:val="007A11AA"/>
    <w:rsid w:val="007A16EA"/>
    <w:rsid w:val="007A1951"/>
    <w:rsid w:val="007A1FAD"/>
    <w:rsid w:val="007B0300"/>
    <w:rsid w:val="007B0D22"/>
    <w:rsid w:val="007B15FE"/>
    <w:rsid w:val="007B1AA0"/>
    <w:rsid w:val="007B1CB1"/>
    <w:rsid w:val="007B2420"/>
    <w:rsid w:val="007B3FEE"/>
    <w:rsid w:val="007B6B42"/>
    <w:rsid w:val="007C00EC"/>
    <w:rsid w:val="007C1DB7"/>
    <w:rsid w:val="007C2725"/>
    <w:rsid w:val="007C3692"/>
    <w:rsid w:val="007C50F9"/>
    <w:rsid w:val="007C5B18"/>
    <w:rsid w:val="007D1AFB"/>
    <w:rsid w:val="007D2364"/>
    <w:rsid w:val="007D3124"/>
    <w:rsid w:val="007D4A04"/>
    <w:rsid w:val="007D4C37"/>
    <w:rsid w:val="007D5D60"/>
    <w:rsid w:val="007E0116"/>
    <w:rsid w:val="007E0237"/>
    <w:rsid w:val="007E06E4"/>
    <w:rsid w:val="007E0DEC"/>
    <w:rsid w:val="007E2030"/>
    <w:rsid w:val="007E5B87"/>
    <w:rsid w:val="007E67AC"/>
    <w:rsid w:val="007F2B2B"/>
    <w:rsid w:val="007F5BE6"/>
    <w:rsid w:val="007F7859"/>
    <w:rsid w:val="007F7CD3"/>
    <w:rsid w:val="007F7F48"/>
    <w:rsid w:val="00800DB6"/>
    <w:rsid w:val="008075AE"/>
    <w:rsid w:val="00810666"/>
    <w:rsid w:val="00813CD3"/>
    <w:rsid w:val="008217A8"/>
    <w:rsid w:val="00826426"/>
    <w:rsid w:val="0083002E"/>
    <w:rsid w:val="008311DA"/>
    <w:rsid w:val="00831FF1"/>
    <w:rsid w:val="00834BF8"/>
    <w:rsid w:val="008350CB"/>
    <w:rsid w:val="00835A67"/>
    <w:rsid w:val="0084305E"/>
    <w:rsid w:val="00851EE6"/>
    <w:rsid w:val="008524E0"/>
    <w:rsid w:val="0085291A"/>
    <w:rsid w:val="00852CCB"/>
    <w:rsid w:val="00853898"/>
    <w:rsid w:val="00853C16"/>
    <w:rsid w:val="008547B1"/>
    <w:rsid w:val="0086097E"/>
    <w:rsid w:val="008661A4"/>
    <w:rsid w:val="00870B97"/>
    <w:rsid w:val="00877D64"/>
    <w:rsid w:val="008812BC"/>
    <w:rsid w:val="008834BC"/>
    <w:rsid w:val="0088745E"/>
    <w:rsid w:val="00890308"/>
    <w:rsid w:val="00891CFE"/>
    <w:rsid w:val="00893BDA"/>
    <w:rsid w:val="0089609F"/>
    <w:rsid w:val="008A09DD"/>
    <w:rsid w:val="008A0C3B"/>
    <w:rsid w:val="008A1296"/>
    <w:rsid w:val="008A1950"/>
    <w:rsid w:val="008A292A"/>
    <w:rsid w:val="008A2B3A"/>
    <w:rsid w:val="008A3C7A"/>
    <w:rsid w:val="008A46ED"/>
    <w:rsid w:val="008A4993"/>
    <w:rsid w:val="008A4BEA"/>
    <w:rsid w:val="008A6B67"/>
    <w:rsid w:val="008A7EFF"/>
    <w:rsid w:val="008B0AE9"/>
    <w:rsid w:val="008B1AD9"/>
    <w:rsid w:val="008B250B"/>
    <w:rsid w:val="008B383F"/>
    <w:rsid w:val="008B57B9"/>
    <w:rsid w:val="008B5F9E"/>
    <w:rsid w:val="008B7E7E"/>
    <w:rsid w:val="008C0263"/>
    <w:rsid w:val="008C1C47"/>
    <w:rsid w:val="008C271D"/>
    <w:rsid w:val="008C4227"/>
    <w:rsid w:val="008C679D"/>
    <w:rsid w:val="008C7FB5"/>
    <w:rsid w:val="008D6518"/>
    <w:rsid w:val="008E12EA"/>
    <w:rsid w:val="008E1C40"/>
    <w:rsid w:val="008E260D"/>
    <w:rsid w:val="008E3168"/>
    <w:rsid w:val="008E4255"/>
    <w:rsid w:val="008E6B8E"/>
    <w:rsid w:val="008F19AE"/>
    <w:rsid w:val="009006B4"/>
    <w:rsid w:val="00903224"/>
    <w:rsid w:val="009064CE"/>
    <w:rsid w:val="009120DC"/>
    <w:rsid w:val="00912C10"/>
    <w:rsid w:val="00913AF1"/>
    <w:rsid w:val="00914CC4"/>
    <w:rsid w:val="0091680E"/>
    <w:rsid w:val="00920140"/>
    <w:rsid w:val="0092583B"/>
    <w:rsid w:val="00932ADB"/>
    <w:rsid w:val="00933989"/>
    <w:rsid w:val="009345F2"/>
    <w:rsid w:val="009414CB"/>
    <w:rsid w:val="00943A75"/>
    <w:rsid w:val="009455AF"/>
    <w:rsid w:val="0094712D"/>
    <w:rsid w:val="009474B4"/>
    <w:rsid w:val="0095044D"/>
    <w:rsid w:val="009508C3"/>
    <w:rsid w:val="00950CCD"/>
    <w:rsid w:val="00951BFA"/>
    <w:rsid w:val="009522BB"/>
    <w:rsid w:val="00956F07"/>
    <w:rsid w:val="00957267"/>
    <w:rsid w:val="00961B1A"/>
    <w:rsid w:val="00963E1C"/>
    <w:rsid w:val="00966625"/>
    <w:rsid w:val="009709A6"/>
    <w:rsid w:val="0097364A"/>
    <w:rsid w:val="00976E78"/>
    <w:rsid w:val="0097730A"/>
    <w:rsid w:val="00977ED8"/>
    <w:rsid w:val="00982168"/>
    <w:rsid w:val="009827F9"/>
    <w:rsid w:val="00983049"/>
    <w:rsid w:val="009830AB"/>
    <w:rsid w:val="00986280"/>
    <w:rsid w:val="00986D63"/>
    <w:rsid w:val="00990BE6"/>
    <w:rsid w:val="0099225E"/>
    <w:rsid w:val="0099636C"/>
    <w:rsid w:val="009A0745"/>
    <w:rsid w:val="009A1B05"/>
    <w:rsid w:val="009A4C1F"/>
    <w:rsid w:val="009A50B4"/>
    <w:rsid w:val="009A51D6"/>
    <w:rsid w:val="009A73DF"/>
    <w:rsid w:val="009A79CA"/>
    <w:rsid w:val="009B4329"/>
    <w:rsid w:val="009B6868"/>
    <w:rsid w:val="009C1636"/>
    <w:rsid w:val="009C1E70"/>
    <w:rsid w:val="009C447A"/>
    <w:rsid w:val="009C4790"/>
    <w:rsid w:val="009C5524"/>
    <w:rsid w:val="009C558D"/>
    <w:rsid w:val="009C6CD7"/>
    <w:rsid w:val="009D1322"/>
    <w:rsid w:val="009D1B88"/>
    <w:rsid w:val="009D1EA6"/>
    <w:rsid w:val="009D2BC9"/>
    <w:rsid w:val="009D3B05"/>
    <w:rsid w:val="009D5293"/>
    <w:rsid w:val="009E61A7"/>
    <w:rsid w:val="009F0B3F"/>
    <w:rsid w:val="009F0FFC"/>
    <w:rsid w:val="009F1EE3"/>
    <w:rsid w:val="009F270A"/>
    <w:rsid w:val="009F2799"/>
    <w:rsid w:val="009F3902"/>
    <w:rsid w:val="009F475F"/>
    <w:rsid w:val="00A00513"/>
    <w:rsid w:val="00A02E49"/>
    <w:rsid w:val="00A10615"/>
    <w:rsid w:val="00A11252"/>
    <w:rsid w:val="00A119A4"/>
    <w:rsid w:val="00A13E08"/>
    <w:rsid w:val="00A14817"/>
    <w:rsid w:val="00A16421"/>
    <w:rsid w:val="00A165C9"/>
    <w:rsid w:val="00A205CF"/>
    <w:rsid w:val="00A2156E"/>
    <w:rsid w:val="00A22926"/>
    <w:rsid w:val="00A2760D"/>
    <w:rsid w:val="00A3180F"/>
    <w:rsid w:val="00A31CAE"/>
    <w:rsid w:val="00A329CD"/>
    <w:rsid w:val="00A354F1"/>
    <w:rsid w:val="00A410F3"/>
    <w:rsid w:val="00A41E50"/>
    <w:rsid w:val="00A438F6"/>
    <w:rsid w:val="00A46773"/>
    <w:rsid w:val="00A479A7"/>
    <w:rsid w:val="00A515BD"/>
    <w:rsid w:val="00A53924"/>
    <w:rsid w:val="00A55AB9"/>
    <w:rsid w:val="00A55C45"/>
    <w:rsid w:val="00A56E8A"/>
    <w:rsid w:val="00A639CD"/>
    <w:rsid w:val="00A659E5"/>
    <w:rsid w:val="00A6629D"/>
    <w:rsid w:val="00A6652E"/>
    <w:rsid w:val="00A70CD9"/>
    <w:rsid w:val="00A71020"/>
    <w:rsid w:val="00A741C4"/>
    <w:rsid w:val="00A75A3E"/>
    <w:rsid w:val="00A81A1F"/>
    <w:rsid w:val="00A8249B"/>
    <w:rsid w:val="00A82FB0"/>
    <w:rsid w:val="00A831CD"/>
    <w:rsid w:val="00A86AC8"/>
    <w:rsid w:val="00A87B81"/>
    <w:rsid w:val="00A90C2B"/>
    <w:rsid w:val="00A91785"/>
    <w:rsid w:val="00A91A27"/>
    <w:rsid w:val="00A950BF"/>
    <w:rsid w:val="00A96685"/>
    <w:rsid w:val="00AA0FF1"/>
    <w:rsid w:val="00AA16F2"/>
    <w:rsid w:val="00AA2826"/>
    <w:rsid w:val="00AA3AA6"/>
    <w:rsid w:val="00AA500B"/>
    <w:rsid w:val="00AA511F"/>
    <w:rsid w:val="00AA7DD3"/>
    <w:rsid w:val="00AB197A"/>
    <w:rsid w:val="00AB37BB"/>
    <w:rsid w:val="00AB39E0"/>
    <w:rsid w:val="00AB4508"/>
    <w:rsid w:val="00AB491C"/>
    <w:rsid w:val="00AB57B2"/>
    <w:rsid w:val="00AB5804"/>
    <w:rsid w:val="00AB6BD6"/>
    <w:rsid w:val="00AC01E6"/>
    <w:rsid w:val="00AC1829"/>
    <w:rsid w:val="00AC377D"/>
    <w:rsid w:val="00AC570A"/>
    <w:rsid w:val="00AC65B7"/>
    <w:rsid w:val="00AD0EAB"/>
    <w:rsid w:val="00AD232C"/>
    <w:rsid w:val="00AD340A"/>
    <w:rsid w:val="00AD3BCD"/>
    <w:rsid w:val="00AD410E"/>
    <w:rsid w:val="00AD5385"/>
    <w:rsid w:val="00AD6351"/>
    <w:rsid w:val="00AD6F40"/>
    <w:rsid w:val="00AE1412"/>
    <w:rsid w:val="00AE27ED"/>
    <w:rsid w:val="00AE46C9"/>
    <w:rsid w:val="00AE6537"/>
    <w:rsid w:val="00AE6589"/>
    <w:rsid w:val="00AE6D16"/>
    <w:rsid w:val="00AE707C"/>
    <w:rsid w:val="00AF1AEC"/>
    <w:rsid w:val="00AF2C65"/>
    <w:rsid w:val="00AF40E4"/>
    <w:rsid w:val="00AF58A2"/>
    <w:rsid w:val="00AF7826"/>
    <w:rsid w:val="00AF7FB6"/>
    <w:rsid w:val="00B030DA"/>
    <w:rsid w:val="00B03956"/>
    <w:rsid w:val="00B065E2"/>
    <w:rsid w:val="00B0784A"/>
    <w:rsid w:val="00B11A1F"/>
    <w:rsid w:val="00B1305C"/>
    <w:rsid w:val="00B13ED7"/>
    <w:rsid w:val="00B14AD7"/>
    <w:rsid w:val="00B14B99"/>
    <w:rsid w:val="00B14C3C"/>
    <w:rsid w:val="00B15205"/>
    <w:rsid w:val="00B15274"/>
    <w:rsid w:val="00B21739"/>
    <w:rsid w:val="00B23790"/>
    <w:rsid w:val="00B24584"/>
    <w:rsid w:val="00B249AE"/>
    <w:rsid w:val="00B25613"/>
    <w:rsid w:val="00B25D1F"/>
    <w:rsid w:val="00B302E3"/>
    <w:rsid w:val="00B32F2A"/>
    <w:rsid w:val="00B33642"/>
    <w:rsid w:val="00B36494"/>
    <w:rsid w:val="00B364A9"/>
    <w:rsid w:val="00B4356F"/>
    <w:rsid w:val="00B50049"/>
    <w:rsid w:val="00B505D6"/>
    <w:rsid w:val="00B50E14"/>
    <w:rsid w:val="00B52DEC"/>
    <w:rsid w:val="00B5552A"/>
    <w:rsid w:val="00B56CD3"/>
    <w:rsid w:val="00B611A7"/>
    <w:rsid w:val="00B61E15"/>
    <w:rsid w:val="00B61E39"/>
    <w:rsid w:val="00B62A3E"/>
    <w:rsid w:val="00B657EA"/>
    <w:rsid w:val="00B6679A"/>
    <w:rsid w:val="00B678D6"/>
    <w:rsid w:val="00B70818"/>
    <w:rsid w:val="00B75CAF"/>
    <w:rsid w:val="00B765DA"/>
    <w:rsid w:val="00B7679D"/>
    <w:rsid w:val="00B814EF"/>
    <w:rsid w:val="00B835A0"/>
    <w:rsid w:val="00B861BF"/>
    <w:rsid w:val="00B86482"/>
    <w:rsid w:val="00B87BF3"/>
    <w:rsid w:val="00B915A8"/>
    <w:rsid w:val="00B96191"/>
    <w:rsid w:val="00BA37B5"/>
    <w:rsid w:val="00BA3EDD"/>
    <w:rsid w:val="00BA6BC9"/>
    <w:rsid w:val="00BA6CDD"/>
    <w:rsid w:val="00BB1D19"/>
    <w:rsid w:val="00BB4371"/>
    <w:rsid w:val="00BB526F"/>
    <w:rsid w:val="00BB6364"/>
    <w:rsid w:val="00BB64A1"/>
    <w:rsid w:val="00BC015D"/>
    <w:rsid w:val="00BC01F6"/>
    <w:rsid w:val="00BC16BC"/>
    <w:rsid w:val="00BC23B7"/>
    <w:rsid w:val="00BC2422"/>
    <w:rsid w:val="00BC5C3A"/>
    <w:rsid w:val="00BD2557"/>
    <w:rsid w:val="00BD37E6"/>
    <w:rsid w:val="00BD424E"/>
    <w:rsid w:val="00BD68B3"/>
    <w:rsid w:val="00BE2BCE"/>
    <w:rsid w:val="00BE2EFB"/>
    <w:rsid w:val="00BE3D9F"/>
    <w:rsid w:val="00BE57F8"/>
    <w:rsid w:val="00BF1BF5"/>
    <w:rsid w:val="00BF25D9"/>
    <w:rsid w:val="00BF6427"/>
    <w:rsid w:val="00C004BA"/>
    <w:rsid w:val="00C03229"/>
    <w:rsid w:val="00C0595B"/>
    <w:rsid w:val="00C06D7C"/>
    <w:rsid w:val="00C129C7"/>
    <w:rsid w:val="00C12FC5"/>
    <w:rsid w:val="00C22316"/>
    <w:rsid w:val="00C233C4"/>
    <w:rsid w:val="00C23699"/>
    <w:rsid w:val="00C250FA"/>
    <w:rsid w:val="00C25418"/>
    <w:rsid w:val="00C26079"/>
    <w:rsid w:val="00C26D14"/>
    <w:rsid w:val="00C31FAA"/>
    <w:rsid w:val="00C32A29"/>
    <w:rsid w:val="00C352DA"/>
    <w:rsid w:val="00C36267"/>
    <w:rsid w:val="00C36FF9"/>
    <w:rsid w:val="00C373DD"/>
    <w:rsid w:val="00C40EAB"/>
    <w:rsid w:val="00C41679"/>
    <w:rsid w:val="00C41A08"/>
    <w:rsid w:val="00C44834"/>
    <w:rsid w:val="00C44BC8"/>
    <w:rsid w:val="00C4543E"/>
    <w:rsid w:val="00C54CC0"/>
    <w:rsid w:val="00C57E38"/>
    <w:rsid w:val="00C606AA"/>
    <w:rsid w:val="00C61BCE"/>
    <w:rsid w:val="00C624BA"/>
    <w:rsid w:val="00C628BC"/>
    <w:rsid w:val="00C643D1"/>
    <w:rsid w:val="00C724F2"/>
    <w:rsid w:val="00C72C11"/>
    <w:rsid w:val="00C73D06"/>
    <w:rsid w:val="00C764B0"/>
    <w:rsid w:val="00C76AB0"/>
    <w:rsid w:val="00C76EED"/>
    <w:rsid w:val="00C77D93"/>
    <w:rsid w:val="00C80FFE"/>
    <w:rsid w:val="00C810B4"/>
    <w:rsid w:val="00C8226B"/>
    <w:rsid w:val="00C82350"/>
    <w:rsid w:val="00C82EC3"/>
    <w:rsid w:val="00C84172"/>
    <w:rsid w:val="00C852F1"/>
    <w:rsid w:val="00C86818"/>
    <w:rsid w:val="00C9136D"/>
    <w:rsid w:val="00C92D6B"/>
    <w:rsid w:val="00C943C4"/>
    <w:rsid w:val="00C946AE"/>
    <w:rsid w:val="00CA3C3C"/>
    <w:rsid w:val="00CA4958"/>
    <w:rsid w:val="00CB3DBB"/>
    <w:rsid w:val="00CB5184"/>
    <w:rsid w:val="00CB5D9E"/>
    <w:rsid w:val="00CB6697"/>
    <w:rsid w:val="00CC1249"/>
    <w:rsid w:val="00CD0406"/>
    <w:rsid w:val="00CD5C45"/>
    <w:rsid w:val="00CD7225"/>
    <w:rsid w:val="00CE0EF3"/>
    <w:rsid w:val="00CE3D77"/>
    <w:rsid w:val="00CE41DD"/>
    <w:rsid w:val="00CE4B7F"/>
    <w:rsid w:val="00CE50E8"/>
    <w:rsid w:val="00CF1D0C"/>
    <w:rsid w:val="00CF5737"/>
    <w:rsid w:val="00CF6491"/>
    <w:rsid w:val="00D01886"/>
    <w:rsid w:val="00D01997"/>
    <w:rsid w:val="00D03667"/>
    <w:rsid w:val="00D05553"/>
    <w:rsid w:val="00D075E4"/>
    <w:rsid w:val="00D118B0"/>
    <w:rsid w:val="00D15058"/>
    <w:rsid w:val="00D20667"/>
    <w:rsid w:val="00D213CD"/>
    <w:rsid w:val="00D260F8"/>
    <w:rsid w:val="00D26578"/>
    <w:rsid w:val="00D309F0"/>
    <w:rsid w:val="00D379F5"/>
    <w:rsid w:val="00D414D8"/>
    <w:rsid w:val="00D44F1A"/>
    <w:rsid w:val="00D45E02"/>
    <w:rsid w:val="00D45E28"/>
    <w:rsid w:val="00D46259"/>
    <w:rsid w:val="00D4776B"/>
    <w:rsid w:val="00D51A3B"/>
    <w:rsid w:val="00D53C09"/>
    <w:rsid w:val="00D5439C"/>
    <w:rsid w:val="00D57123"/>
    <w:rsid w:val="00D57BED"/>
    <w:rsid w:val="00D6066E"/>
    <w:rsid w:val="00D6249F"/>
    <w:rsid w:val="00D62EB2"/>
    <w:rsid w:val="00D642DD"/>
    <w:rsid w:val="00D65652"/>
    <w:rsid w:val="00D67878"/>
    <w:rsid w:val="00D73156"/>
    <w:rsid w:val="00D73FD4"/>
    <w:rsid w:val="00D7535D"/>
    <w:rsid w:val="00D764FB"/>
    <w:rsid w:val="00D84126"/>
    <w:rsid w:val="00D86AD8"/>
    <w:rsid w:val="00D933A9"/>
    <w:rsid w:val="00D96112"/>
    <w:rsid w:val="00D963D2"/>
    <w:rsid w:val="00D96A98"/>
    <w:rsid w:val="00D97DE2"/>
    <w:rsid w:val="00DB0A8F"/>
    <w:rsid w:val="00DB108C"/>
    <w:rsid w:val="00DB16E2"/>
    <w:rsid w:val="00DB2623"/>
    <w:rsid w:val="00DB3084"/>
    <w:rsid w:val="00DB4A7D"/>
    <w:rsid w:val="00DB50AA"/>
    <w:rsid w:val="00DB5163"/>
    <w:rsid w:val="00DC1973"/>
    <w:rsid w:val="00DC2CB7"/>
    <w:rsid w:val="00DC39C1"/>
    <w:rsid w:val="00DC3E70"/>
    <w:rsid w:val="00DC4731"/>
    <w:rsid w:val="00DC5340"/>
    <w:rsid w:val="00DC6803"/>
    <w:rsid w:val="00DC6825"/>
    <w:rsid w:val="00DC68D9"/>
    <w:rsid w:val="00DC7281"/>
    <w:rsid w:val="00DD044D"/>
    <w:rsid w:val="00DD4BB6"/>
    <w:rsid w:val="00DE23E4"/>
    <w:rsid w:val="00DE4108"/>
    <w:rsid w:val="00DE4E76"/>
    <w:rsid w:val="00DE577F"/>
    <w:rsid w:val="00DE59BE"/>
    <w:rsid w:val="00DE6558"/>
    <w:rsid w:val="00DF1E43"/>
    <w:rsid w:val="00DF378D"/>
    <w:rsid w:val="00DF3E64"/>
    <w:rsid w:val="00DF5557"/>
    <w:rsid w:val="00DF5AE0"/>
    <w:rsid w:val="00DF60B5"/>
    <w:rsid w:val="00DF69D4"/>
    <w:rsid w:val="00DF7E2C"/>
    <w:rsid w:val="00E01AB3"/>
    <w:rsid w:val="00E027DC"/>
    <w:rsid w:val="00E050E7"/>
    <w:rsid w:val="00E0760D"/>
    <w:rsid w:val="00E132E9"/>
    <w:rsid w:val="00E13FE1"/>
    <w:rsid w:val="00E14FF5"/>
    <w:rsid w:val="00E158C8"/>
    <w:rsid w:val="00E20161"/>
    <w:rsid w:val="00E236C2"/>
    <w:rsid w:val="00E253F9"/>
    <w:rsid w:val="00E25CDE"/>
    <w:rsid w:val="00E26A50"/>
    <w:rsid w:val="00E27787"/>
    <w:rsid w:val="00E277A6"/>
    <w:rsid w:val="00E306D6"/>
    <w:rsid w:val="00E30D4D"/>
    <w:rsid w:val="00E31EA6"/>
    <w:rsid w:val="00E327ED"/>
    <w:rsid w:val="00E3544C"/>
    <w:rsid w:val="00E36460"/>
    <w:rsid w:val="00E43F36"/>
    <w:rsid w:val="00E442D7"/>
    <w:rsid w:val="00E453B7"/>
    <w:rsid w:val="00E47382"/>
    <w:rsid w:val="00E47A4C"/>
    <w:rsid w:val="00E531CF"/>
    <w:rsid w:val="00E55540"/>
    <w:rsid w:val="00E556DC"/>
    <w:rsid w:val="00E60B40"/>
    <w:rsid w:val="00E66294"/>
    <w:rsid w:val="00E67002"/>
    <w:rsid w:val="00E675F5"/>
    <w:rsid w:val="00E708F8"/>
    <w:rsid w:val="00E715D4"/>
    <w:rsid w:val="00E74184"/>
    <w:rsid w:val="00E7532F"/>
    <w:rsid w:val="00E75C27"/>
    <w:rsid w:val="00E77ADD"/>
    <w:rsid w:val="00E8446D"/>
    <w:rsid w:val="00E84BBA"/>
    <w:rsid w:val="00E85EE6"/>
    <w:rsid w:val="00E86374"/>
    <w:rsid w:val="00E907BF"/>
    <w:rsid w:val="00E919DF"/>
    <w:rsid w:val="00E92680"/>
    <w:rsid w:val="00E92AEF"/>
    <w:rsid w:val="00E96A41"/>
    <w:rsid w:val="00E973AB"/>
    <w:rsid w:val="00E97CF1"/>
    <w:rsid w:val="00EA0251"/>
    <w:rsid w:val="00EA1FA6"/>
    <w:rsid w:val="00EA2546"/>
    <w:rsid w:val="00EA43F6"/>
    <w:rsid w:val="00EA4C56"/>
    <w:rsid w:val="00EA4D2C"/>
    <w:rsid w:val="00EB105C"/>
    <w:rsid w:val="00EC2E69"/>
    <w:rsid w:val="00EC5713"/>
    <w:rsid w:val="00ED1E4D"/>
    <w:rsid w:val="00ED283F"/>
    <w:rsid w:val="00ED455F"/>
    <w:rsid w:val="00ED46B2"/>
    <w:rsid w:val="00EE0186"/>
    <w:rsid w:val="00EE1D03"/>
    <w:rsid w:val="00EE248A"/>
    <w:rsid w:val="00EE273E"/>
    <w:rsid w:val="00EE335A"/>
    <w:rsid w:val="00EE41B2"/>
    <w:rsid w:val="00EE6D18"/>
    <w:rsid w:val="00EE7B18"/>
    <w:rsid w:val="00EF0766"/>
    <w:rsid w:val="00EF0CEB"/>
    <w:rsid w:val="00EF572C"/>
    <w:rsid w:val="00EF5C91"/>
    <w:rsid w:val="00EF66A4"/>
    <w:rsid w:val="00F01257"/>
    <w:rsid w:val="00F017AB"/>
    <w:rsid w:val="00F022E3"/>
    <w:rsid w:val="00F044C6"/>
    <w:rsid w:val="00F068F8"/>
    <w:rsid w:val="00F06F3A"/>
    <w:rsid w:val="00F11975"/>
    <w:rsid w:val="00F11D64"/>
    <w:rsid w:val="00F1381F"/>
    <w:rsid w:val="00F14FD0"/>
    <w:rsid w:val="00F157E3"/>
    <w:rsid w:val="00F25DCC"/>
    <w:rsid w:val="00F26BCA"/>
    <w:rsid w:val="00F277F4"/>
    <w:rsid w:val="00F30CD6"/>
    <w:rsid w:val="00F31F9A"/>
    <w:rsid w:val="00F33BB3"/>
    <w:rsid w:val="00F36CB8"/>
    <w:rsid w:val="00F376F2"/>
    <w:rsid w:val="00F41C5D"/>
    <w:rsid w:val="00F455BA"/>
    <w:rsid w:val="00F5133F"/>
    <w:rsid w:val="00F51EEA"/>
    <w:rsid w:val="00F5410C"/>
    <w:rsid w:val="00F56DFF"/>
    <w:rsid w:val="00F61AFC"/>
    <w:rsid w:val="00F62388"/>
    <w:rsid w:val="00F63BC3"/>
    <w:rsid w:val="00F644E0"/>
    <w:rsid w:val="00F65756"/>
    <w:rsid w:val="00F678D3"/>
    <w:rsid w:val="00F74A49"/>
    <w:rsid w:val="00F75226"/>
    <w:rsid w:val="00F80666"/>
    <w:rsid w:val="00F8229C"/>
    <w:rsid w:val="00F82F4E"/>
    <w:rsid w:val="00F85FB4"/>
    <w:rsid w:val="00F87D1A"/>
    <w:rsid w:val="00F90DDA"/>
    <w:rsid w:val="00F93EC6"/>
    <w:rsid w:val="00F95EFC"/>
    <w:rsid w:val="00FA00F4"/>
    <w:rsid w:val="00FA1376"/>
    <w:rsid w:val="00FA18B4"/>
    <w:rsid w:val="00FA1CE5"/>
    <w:rsid w:val="00FA2B32"/>
    <w:rsid w:val="00FA59E9"/>
    <w:rsid w:val="00FB0804"/>
    <w:rsid w:val="00FB1E0B"/>
    <w:rsid w:val="00FB5807"/>
    <w:rsid w:val="00FB65F0"/>
    <w:rsid w:val="00FC1741"/>
    <w:rsid w:val="00FC325E"/>
    <w:rsid w:val="00FC3711"/>
    <w:rsid w:val="00FC5305"/>
    <w:rsid w:val="00FC56C0"/>
    <w:rsid w:val="00FC58D2"/>
    <w:rsid w:val="00FC653A"/>
    <w:rsid w:val="00FC77A6"/>
    <w:rsid w:val="00FC7CCD"/>
    <w:rsid w:val="00FD2700"/>
    <w:rsid w:val="00FD2CFC"/>
    <w:rsid w:val="00FD344F"/>
    <w:rsid w:val="00FD3CD7"/>
    <w:rsid w:val="00FD4B6E"/>
    <w:rsid w:val="00FE1A65"/>
    <w:rsid w:val="00FE67F0"/>
    <w:rsid w:val="00FE6F9A"/>
    <w:rsid w:val="00FE7196"/>
    <w:rsid w:val="00FE78D0"/>
    <w:rsid w:val="00FE7AEF"/>
    <w:rsid w:val="00FF0558"/>
    <w:rsid w:val="00FF14AB"/>
    <w:rsid w:val="00FF1814"/>
    <w:rsid w:val="00FF3486"/>
    <w:rsid w:val="00FF4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672CE"/>
  <w15:chartTrackingRefBased/>
  <w15:docId w15:val="{3BAD8AC1-C27B-404D-B0AB-64C3F627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778"/>
    <w:rPr>
      <w:sz w:val="24"/>
    </w:rPr>
  </w:style>
  <w:style w:type="paragraph" w:styleId="Heading1">
    <w:name w:val="heading 1"/>
    <w:basedOn w:val="Normal"/>
    <w:next w:val="Normal"/>
    <w:link w:val="Heading1Char"/>
    <w:uiPriority w:val="9"/>
    <w:qFormat/>
    <w:rsid w:val="00582DC2"/>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BA3EDD"/>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1A6DEA"/>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BF5"/>
  </w:style>
  <w:style w:type="paragraph" w:styleId="Footer">
    <w:name w:val="footer"/>
    <w:basedOn w:val="Normal"/>
    <w:link w:val="FooterChar"/>
    <w:uiPriority w:val="99"/>
    <w:unhideWhenUsed/>
    <w:rsid w:val="00BF1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BF5"/>
  </w:style>
  <w:style w:type="paragraph" w:styleId="Title">
    <w:name w:val="Title"/>
    <w:basedOn w:val="Normal"/>
    <w:next w:val="Normal"/>
    <w:link w:val="TitleChar"/>
    <w:uiPriority w:val="10"/>
    <w:qFormat/>
    <w:rsid w:val="00507BD7"/>
    <w:pPr>
      <w:spacing w:after="0" w:line="240" w:lineRule="auto"/>
      <w:contextualSpacing/>
    </w:pPr>
    <w:rPr>
      <w:rFonts w:asciiTheme="majorHAnsi" w:eastAsiaTheme="majorEastAsia" w:hAnsiTheme="majorHAnsi" w:cstheme="majorBidi"/>
      <w:spacing w:val="-10"/>
      <w:kern w:val="28"/>
      <w:sz w:val="44"/>
      <w:szCs w:val="56"/>
    </w:rPr>
  </w:style>
  <w:style w:type="character" w:customStyle="1" w:styleId="TitleChar">
    <w:name w:val="Title Char"/>
    <w:basedOn w:val="DefaultParagraphFont"/>
    <w:link w:val="Title"/>
    <w:uiPriority w:val="10"/>
    <w:rsid w:val="00507BD7"/>
    <w:rPr>
      <w:rFonts w:asciiTheme="majorHAnsi" w:eastAsiaTheme="majorEastAsia" w:hAnsiTheme="majorHAnsi" w:cstheme="majorBidi"/>
      <w:spacing w:val="-10"/>
      <w:kern w:val="28"/>
      <w:sz w:val="44"/>
      <w:szCs w:val="56"/>
    </w:rPr>
  </w:style>
  <w:style w:type="paragraph" w:styleId="Date">
    <w:name w:val="Date"/>
    <w:basedOn w:val="Normal"/>
    <w:next w:val="Normal"/>
    <w:link w:val="DateChar"/>
    <w:uiPriority w:val="99"/>
    <w:semiHidden/>
    <w:unhideWhenUsed/>
    <w:rsid w:val="00507BD7"/>
  </w:style>
  <w:style w:type="character" w:customStyle="1" w:styleId="DateChar">
    <w:name w:val="Date Char"/>
    <w:basedOn w:val="DefaultParagraphFont"/>
    <w:link w:val="Date"/>
    <w:uiPriority w:val="99"/>
    <w:semiHidden/>
    <w:rsid w:val="00507BD7"/>
  </w:style>
  <w:style w:type="character" w:customStyle="1" w:styleId="Heading1Char">
    <w:name w:val="Heading 1 Char"/>
    <w:basedOn w:val="DefaultParagraphFont"/>
    <w:link w:val="Heading1"/>
    <w:uiPriority w:val="9"/>
    <w:rsid w:val="00582DC2"/>
    <w:rPr>
      <w:rFonts w:eastAsiaTheme="majorEastAsia" w:cstheme="majorBidi"/>
      <w:b/>
      <w:sz w:val="28"/>
      <w:szCs w:val="32"/>
    </w:rPr>
  </w:style>
  <w:style w:type="character" w:customStyle="1" w:styleId="Heading2Char">
    <w:name w:val="Heading 2 Char"/>
    <w:basedOn w:val="DefaultParagraphFont"/>
    <w:link w:val="Heading2"/>
    <w:uiPriority w:val="9"/>
    <w:rsid w:val="00BA3EDD"/>
    <w:rPr>
      <w:rFonts w:eastAsiaTheme="majorEastAsia" w:cstheme="majorBidi"/>
      <w:b/>
      <w:sz w:val="24"/>
      <w:szCs w:val="26"/>
    </w:rPr>
  </w:style>
  <w:style w:type="paragraph" w:styleId="ListParagraph">
    <w:name w:val="List Paragraph"/>
    <w:basedOn w:val="Normal"/>
    <w:uiPriority w:val="34"/>
    <w:qFormat/>
    <w:rsid w:val="00151F50"/>
    <w:pPr>
      <w:ind w:left="720"/>
      <w:contextualSpacing/>
    </w:pPr>
  </w:style>
  <w:style w:type="character" w:styleId="Hyperlink">
    <w:name w:val="Hyperlink"/>
    <w:basedOn w:val="DefaultParagraphFont"/>
    <w:uiPriority w:val="99"/>
    <w:unhideWhenUsed/>
    <w:rsid w:val="00AE6537"/>
    <w:rPr>
      <w:color w:val="0000FF"/>
      <w:u w:val="single"/>
    </w:rPr>
  </w:style>
  <w:style w:type="character" w:styleId="UnresolvedMention">
    <w:name w:val="Unresolved Mention"/>
    <w:basedOn w:val="DefaultParagraphFont"/>
    <w:uiPriority w:val="99"/>
    <w:semiHidden/>
    <w:unhideWhenUsed/>
    <w:rsid w:val="001042B5"/>
    <w:rPr>
      <w:color w:val="605E5C"/>
      <w:shd w:val="clear" w:color="auto" w:fill="E1DFDD"/>
    </w:rPr>
  </w:style>
  <w:style w:type="character" w:styleId="FollowedHyperlink">
    <w:name w:val="FollowedHyperlink"/>
    <w:basedOn w:val="DefaultParagraphFont"/>
    <w:uiPriority w:val="99"/>
    <w:semiHidden/>
    <w:unhideWhenUsed/>
    <w:rsid w:val="00E77ADD"/>
    <w:rPr>
      <w:color w:val="954F72" w:themeColor="followedHyperlink"/>
      <w:u w:val="single"/>
    </w:rPr>
  </w:style>
  <w:style w:type="paragraph" w:styleId="NormalWeb">
    <w:name w:val="Normal (Web)"/>
    <w:basedOn w:val="Normal"/>
    <w:uiPriority w:val="99"/>
    <w:semiHidden/>
    <w:unhideWhenUsed/>
    <w:rsid w:val="00582DC2"/>
    <w:pPr>
      <w:spacing w:before="100" w:beforeAutospacing="1" w:after="100" w:afterAutospacing="1" w:line="240" w:lineRule="auto"/>
    </w:pPr>
    <w:rPr>
      <w:rFonts w:ascii="Times New Roman" w:eastAsia="Times New Roman" w:hAnsi="Times New Roman" w:cs="Times New Roman"/>
      <w:kern w:val="0"/>
      <w:szCs w:val="24"/>
      <w:lang w:eastAsia="en-US"/>
      <w14:ligatures w14:val="none"/>
    </w:rPr>
  </w:style>
  <w:style w:type="paragraph" w:styleId="FootnoteText">
    <w:name w:val="footnote text"/>
    <w:basedOn w:val="Normal"/>
    <w:link w:val="FootnoteTextChar"/>
    <w:uiPriority w:val="99"/>
    <w:semiHidden/>
    <w:unhideWhenUsed/>
    <w:rsid w:val="00644778"/>
    <w:pPr>
      <w:spacing w:after="0" w:line="240" w:lineRule="auto"/>
    </w:pPr>
    <w:rPr>
      <w:rFonts w:eastAsia="Times New Roman" w:cs="Times New Roman"/>
      <w:kern w:val="0"/>
      <w:sz w:val="20"/>
      <w:szCs w:val="20"/>
      <w:lang w:eastAsia="en-US"/>
      <w14:ligatures w14:val="none"/>
    </w:rPr>
  </w:style>
  <w:style w:type="character" w:customStyle="1" w:styleId="FootnoteTextChar">
    <w:name w:val="Footnote Text Char"/>
    <w:basedOn w:val="DefaultParagraphFont"/>
    <w:link w:val="FootnoteText"/>
    <w:uiPriority w:val="99"/>
    <w:semiHidden/>
    <w:rsid w:val="00644778"/>
    <w:rPr>
      <w:rFonts w:eastAsia="Times New Roman" w:cs="Times New Roman"/>
      <w:kern w:val="0"/>
      <w:sz w:val="20"/>
      <w:szCs w:val="20"/>
      <w:lang w:eastAsia="en-US"/>
      <w14:ligatures w14:val="none"/>
    </w:rPr>
  </w:style>
  <w:style w:type="character" w:styleId="FootnoteReference">
    <w:name w:val="footnote reference"/>
    <w:basedOn w:val="DefaultParagraphFont"/>
    <w:uiPriority w:val="99"/>
    <w:semiHidden/>
    <w:unhideWhenUsed/>
    <w:rsid w:val="00644778"/>
    <w:rPr>
      <w:vertAlign w:val="superscript"/>
    </w:rPr>
  </w:style>
  <w:style w:type="paragraph" w:styleId="EndnoteText">
    <w:name w:val="endnote text"/>
    <w:basedOn w:val="Normal"/>
    <w:link w:val="EndnoteTextChar"/>
    <w:uiPriority w:val="99"/>
    <w:semiHidden/>
    <w:unhideWhenUsed/>
    <w:rsid w:val="002252E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52E8"/>
    <w:rPr>
      <w:sz w:val="20"/>
      <w:szCs w:val="20"/>
    </w:rPr>
  </w:style>
  <w:style w:type="character" w:styleId="EndnoteReference">
    <w:name w:val="endnote reference"/>
    <w:basedOn w:val="DefaultParagraphFont"/>
    <w:uiPriority w:val="99"/>
    <w:semiHidden/>
    <w:unhideWhenUsed/>
    <w:rsid w:val="002252E8"/>
    <w:rPr>
      <w:vertAlign w:val="superscript"/>
    </w:rPr>
  </w:style>
  <w:style w:type="character" w:customStyle="1" w:styleId="field-wrapper">
    <w:name w:val="field-wrapper"/>
    <w:basedOn w:val="DefaultParagraphFont"/>
    <w:rsid w:val="00397738"/>
  </w:style>
  <w:style w:type="paragraph" w:styleId="TOCHeading">
    <w:name w:val="TOC Heading"/>
    <w:basedOn w:val="Heading1"/>
    <w:next w:val="Normal"/>
    <w:uiPriority w:val="39"/>
    <w:unhideWhenUsed/>
    <w:qFormat/>
    <w:rsid w:val="004C3EFC"/>
    <w:pPr>
      <w:outlineLvl w:val="9"/>
    </w:pPr>
    <w:rPr>
      <w:rFonts w:asciiTheme="majorHAnsi" w:hAnsiTheme="majorHAnsi"/>
      <w:b w:val="0"/>
      <w:color w:val="2F5496" w:themeColor="accent1" w:themeShade="BF"/>
      <w:kern w:val="0"/>
      <w:sz w:val="32"/>
      <w:lang w:eastAsia="en-US"/>
      <w14:ligatures w14:val="none"/>
    </w:rPr>
  </w:style>
  <w:style w:type="paragraph" w:styleId="TOC1">
    <w:name w:val="toc 1"/>
    <w:basedOn w:val="Normal"/>
    <w:next w:val="Normal"/>
    <w:autoRedefine/>
    <w:uiPriority w:val="39"/>
    <w:unhideWhenUsed/>
    <w:rsid w:val="004C3EFC"/>
    <w:pPr>
      <w:spacing w:after="100"/>
    </w:pPr>
  </w:style>
  <w:style w:type="paragraph" w:styleId="TOC2">
    <w:name w:val="toc 2"/>
    <w:basedOn w:val="Normal"/>
    <w:next w:val="Normal"/>
    <w:autoRedefine/>
    <w:uiPriority w:val="39"/>
    <w:unhideWhenUsed/>
    <w:rsid w:val="004C3EFC"/>
    <w:pPr>
      <w:spacing w:after="100"/>
      <w:ind w:left="240"/>
    </w:pPr>
  </w:style>
  <w:style w:type="paragraph" w:customStyle="1" w:styleId="xmsonormal">
    <w:name w:val="x_msonormal"/>
    <w:basedOn w:val="Normal"/>
    <w:rsid w:val="00E306D6"/>
    <w:pPr>
      <w:spacing w:after="0" w:line="240" w:lineRule="auto"/>
    </w:pPr>
    <w:rPr>
      <w:rFonts w:ascii="Calibri" w:eastAsiaTheme="minorHAnsi" w:hAnsi="Calibri" w:cs="Calibri"/>
      <w:kern w:val="0"/>
      <w:sz w:val="22"/>
      <w:lang w:eastAsia="en-US"/>
      <w14:ligatures w14:val="none"/>
    </w:rPr>
  </w:style>
  <w:style w:type="paragraph" w:customStyle="1" w:styleId="xxmsofootnotetext">
    <w:name w:val="x_xmsofootnotetext"/>
    <w:basedOn w:val="Normal"/>
    <w:rsid w:val="00E306D6"/>
    <w:pPr>
      <w:spacing w:after="0" w:line="240" w:lineRule="auto"/>
    </w:pPr>
    <w:rPr>
      <w:rFonts w:ascii="Calibri" w:eastAsiaTheme="minorHAnsi" w:hAnsi="Calibri" w:cs="Calibri"/>
      <w:kern w:val="0"/>
      <w:sz w:val="22"/>
      <w:lang w:eastAsia="en-US"/>
      <w14:ligatures w14:val="none"/>
    </w:rPr>
  </w:style>
  <w:style w:type="character" w:customStyle="1" w:styleId="Heading3Char">
    <w:name w:val="Heading 3 Char"/>
    <w:basedOn w:val="DefaultParagraphFont"/>
    <w:link w:val="Heading3"/>
    <w:uiPriority w:val="9"/>
    <w:semiHidden/>
    <w:rsid w:val="001A6DEA"/>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414D18"/>
    <w:pPr>
      <w:spacing w:after="0" w:line="240" w:lineRule="auto"/>
    </w:pPr>
    <w:rPr>
      <w:sz w:val="24"/>
    </w:rPr>
  </w:style>
  <w:style w:type="character" w:styleId="CommentReference">
    <w:name w:val="annotation reference"/>
    <w:basedOn w:val="DefaultParagraphFont"/>
    <w:uiPriority w:val="99"/>
    <w:semiHidden/>
    <w:unhideWhenUsed/>
    <w:rsid w:val="0075353E"/>
    <w:rPr>
      <w:sz w:val="16"/>
      <w:szCs w:val="16"/>
    </w:rPr>
  </w:style>
  <w:style w:type="paragraph" w:styleId="CommentText">
    <w:name w:val="annotation text"/>
    <w:basedOn w:val="Normal"/>
    <w:link w:val="CommentTextChar"/>
    <w:uiPriority w:val="99"/>
    <w:semiHidden/>
    <w:unhideWhenUsed/>
    <w:rsid w:val="0075353E"/>
    <w:pPr>
      <w:spacing w:line="240" w:lineRule="auto"/>
    </w:pPr>
    <w:rPr>
      <w:sz w:val="20"/>
      <w:szCs w:val="20"/>
    </w:rPr>
  </w:style>
  <w:style w:type="character" w:customStyle="1" w:styleId="CommentTextChar">
    <w:name w:val="Comment Text Char"/>
    <w:basedOn w:val="DefaultParagraphFont"/>
    <w:link w:val="CommentText"/>
    <w:uiPriority w:val="99"/>
    <w:semiHidden/>
    <w:rsid w:val="0075353E"/>
    <w:rPr>
      <w:sz w:val="20"/>
      <w:szCs w:val="20"/>
    </w:rPr>
  </w:style>
  <w:style w:type="paragraph" w:styleId="CommentSubject">
    <w:name w:val="annotation subject"/>
    <w:basedOn w:val="CommentText"/>
    <w:next w:val="CommentText"/>
    <w:link w:val="CommentSubjectChar"/>
    <w:uiPriority w:val="99"/>
    <w:semiHidden/>
    <w:unhideWhenUsed/>
    <w:rsid w:val="0075353E"/>
    <w:rPr>
      <w:b/>
      <w:bCs/>
    </w:rPr>
  </w:style>
  <w:style w:type="character" w:customStyle="1" w:styleId="CommentSubjectChar">
    <w:name w:val="Comment Subject Char"/>
    <w:basedOn w:val="CommentTextChar"/>
    <w:link w:val="CommentSubject"/>
    <w:uiPriority w:val="99"/>
    <w:semiHidden/>
    <w:rsid w:val="0075353E"/>
    <w:rPr>
      <w:b/>
      <w:bCs/>
      <w:sz w:val="20"/>
      <w:szCs w:val="20"/>
    </w:rPr>
  </w:style>
  <w:style w:type="paragraph" w:customStyle="1" w:styleId="paragraph">
    <w:name w:val="paragraph"/>
    <w:basedOn w:val="Normal"/>
    <w:rsid w:val="00582E92"/>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normaltextrun">
    <w:name w:val="normaltextrun"/>
    <w:basedOn w:val="DefaultParagraphFont"/>
    <w:rsid w:val="00582E92"/>
  </w:style>
  <w:style w:type="character" w:customStyle="1" w:styleId="eop">
    <w:name w:val="eop"/>
    <w:basedOn w:val="DefaultParagraphFont"/>
    <w:rsid w:val="00582E92"/>
  </w:style>
  <w:style w:type="character" w:customStyle="1" w:styleId="superscript">
    <w:name w:val="superscript"/>
    <w:basedOn w:val="DefaultParagraphFont"/>
    <w:rsid w:val="00582E92"/>
  </w:style>
  <w:style w:type="character" w:customStyle="1" w:styleId="scxw120725529">
    <w:name w:val="scxw120725529"/>
    <w:basedOn w:val="DefaultParagraphFont"/>
    <w:rsid w:val="006A0611"/>
  </w:style>
  <w:style w:type="character" w:customStyle="1" w:styleId="scxw119898807">
    <w:name w:val="scxw119898807"/>
    <w:basedOn w:val="DefaultParagraphFont"/>
    <w:rsid w:val="00D309F0"/>
  </w:style>
  <w:style w:type="character" w:customStyle="1" w:styleId="scxw249627086">
    <w:name w:val="scxw249627086"/>
    <w:basedOn w:val="DefaultParagraphFont"/>
    <w:rsid w:val="006C7875"/>
  </w:style>
  <w:style w:type="table" w:styleId="TableGrid">
    <w:name w:val="Table Grid"/>
    <w:basedOn w:val="TableNormal"/>
    <w:uiPriority w:val="39"/>
    <w:rsid w:val="00E01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95749">
      <w:bodyDiv w:val="1"/>
      <w:marLeft w:val="0"/>
      <w:marRight w:val="0"/>
      <w:marTop w:val="0"/>
      <w:marBottom w:val="0"/>
      <w:divBdr>
        <w:top w:val="none" w:sz="0" w:space="0" w:color="auto"/>
        <w:left w:val="none" w:sz="0" w:space="0" w:color="auto"/>
        <w:bottom w:val="none" w:sz="0" w:space="0" w:color="auto"/>
        <w:right w:val="none" w:sz="0" w:space="0" w:color="auto"/>
      </w:divBdr>
      <w:divsChild>
        <w:div w:id="1484084677">
          <w:marLeft w:val="0"/>
          <w:marRight w:val="0"/>
          <w:marTop w:val="0"/>
          <w:marBottom w:val="0"/>
          <w:divBdr>
            <w:top w:val="none" w:sz="0" w:space="0" w:color="auto"/>
            <w:left w:val="none" w:sz="0" w:space="0" w:color="auto"/>
            <w:bottom w:val="none" w:sz="0" w:space="0" w:color="auto"/>
            <w:right w:val="none" w:sz="0" w:space="0" w:color="auto"/>
          </w:divBdr>
        </w:div>
        <w:div w:id="2047679488">
          <w:marLeft w:val="0"/>
          <w:marRight w:val="0"/>
          <w:marTop w:val="0"/>
          <w:marBottom w:val="0"/>
          <w:divBdr>
            <w:top w:val="none" w:sz="0" w:space="0" w:color="auto"/>
            <w:left w:val="none" w:sz="0" w:space="0" w:color="auto"/>
            <w:bottom w:val="none" w:sz="0" w:space="0" w:color="auto"/>
            <w:right w:val="none" w:sz="0" w:space="0" w:color="auto"/>
          </w:divBdr>
        </w:div>
        <w:div w:id="809831671">
          <w:marLeft w:val="0"/>
          <w:marRight w:val="0"/>
          <w:marTop w:val="0"/>
          <w:marBottom w:val="0"/>
          <w:divBdr>
            <w:top w:val="none" w:sz="0" w:space="0" w:color="auto"/>
            <w:left w:val="none" w:sz="0" w:space="0" w:color="auto"/>
            <w:bottom w:val="none" w:sz="0" w:space="0" w:color="auto"/>
            <w:right w:val="none" w:sz="0" w:space="0" w:color="auto"/>
          </w:divBdr>
        </w:div>
        <w:div w:id="1860271061">
          <w:marLeft w:val="0"/>
          <w:marRight w:val="0"/>
          <w:marTop w:val="0"/>
          <w:marBottom w:val="0"/>
          <w:divBdr>
            <w:top w:val="none" w:sz="0" w:space="0" w:color="auto"/>
            <w:left w:val="none" w:sz="0" w:space="0" w:color="auto"/>
            <w:bottom w:val="none" w:sz="0" w:space="0" w:color="auto"/>
            <w:right w:val="none" w:sz="0" w:space="0" w:color="auto"/>
          </w:divBdr>
        </w:div>
        <w:div w:id="1008409936">
          <w:marLeft w:val="0"/>
          <w:marRight w:val="0"/>
          <w:marTop w:val="0"/>
          <w:marBottom w:val="0"/>
          <w:divBdr>
            <w:top w:val="none" w:sz="0" w:space="0" w:color="auto"/>
            <w:left w:val="none" w:sz="0" w:space="0" w:color="auto"/>
            <w:bottom w:val="none" w:sz="0" w:space="0" w:color="auto"/>
            <w:right w:val="none" w:sz="0" w:space="0" w:color="auto"/>
          </w:divBdr>
        </w:div>
      </w:divsChild>
    </w:div>
    <w:div w:id="247930307">
      <w:bodyDiv w:val="1"/>
      <w:marLeft w:val="0"/>
      <w:marRight w:val="0"/>
      <w:marTop w:val="0"/>
      <w:marBottom w:val="0"/>
      <w:divBdr>
        <w:top w:val="none" w:sz="0" w:space="0" w:color="auto"/>
        <w:left w:val="none" w:sz="0" w:space="0" w:color="auto"/>
        <w:bottom w:val="none" w:sz="0" w:space="0" w:color="auto"/>
        <w:right w:val="none" w:sz="0" w:space="0" w:color="auto"/>
      </w:divBdr>
    </w:div>
    <w:div w:id="295989146">
      <w:bodyDiv w:val="1"/>
      <w:marLeft w:val="0"/>
      <w:marRight w:val="0"/>
      <w:marTop w:val="0"/>
      <w:marBottom w:val="0"/>
      <w:divBdr>
        <w:top w:val="none" w:sz="0" w:space="0" w:color="auto"/>
        <w:left w:val="none" w:sz="0" w:space="0" w:color="auto"/>
        <w:bottom w:val="none" w:sz="0" w:space="0" w:color="auto"/>
        <w:right w:val="none" w:sz="0" w:space="0" w:color="auto"/>
      </w:divBdr>
      <w:divsChild>
        <w:div w:id="1017654391">
          <w:marLeft w:val="0"/>
          <w:marRight w:val="0"/>
          <w:marTop w:val="0"/>
          <w:marBottom w:val="0"/>
          <w:divBdr>
            <w:top w:val="none" w:sz="0" w:space="0" w:color="auto"/>
            <w:left w:val="none" w:sz="0" w:space="0" w:color="auto"/>
            <w:bottom w:val="none" w:sz="0" w:space="0" w:color="auto"/>
            <w:right w:val="none" w:sz="0" w:space="0" w:color="auto"/>
          </w:divBdr>
        </w:div>
        <w:div w:id="1464736385">
          <w:marLeft w:val="0"/>
          <w:marRight w:val="0"/>
          <w:marTop w:val="0"/>
          <w:marBottom w:val="0"/>
          <w:divBdr>
            <w:top w:val="none" w:sz="0" w:space="0" w:color="auto"/>
            <w:left w:val="none" w:sz="0" w:space="0" w:color="auto"/>
            <w:bottom w:val="none" w:sz="0" w:space="0" w:color="auto"/>
            <w:right w:val="none" w:sz="0" w:space="0" w:color="auto"/>
          </w:divBdr>
        </w:div>
        <w:div w:id="1634872557">
          <w:marLeft w:val="0"/>
          <w:marRight w:val="0"/>
          <w:marTop w:val="0"/>
          <w:marBottom w:val="0"/>
          <w:divBdr>
            <w:top w:val="none" w:sz="0" w:space="0" w:color="auto"/>
            <w:left w:val="none" w:sz="0" w:space="0" w:color="auto"/>
            <w:bottom w:val="none" w:sz="0" w:space="0" w:color="auto"/>
            <w:right w:val="none" w:sz="0" w:space="0" w:color="auto"/>
          </w:divBdr>
        </w:div>
      </w:divsChild>
    </w:div>
    <w:div w:id="413891959">
      <w:bodyDiv w:val="1"/>
      <w:marLeft w:val="0"/>
      <w:marRight w:val="0"/>
      <w:marTop w:val="0"/>
      <w:marBottom w:val="0"/>
      <w:divBdr>
        <w:top w:val="none" w:sz="0" w:space="0" w:color="auto"/>
        <w:left w:val="none" w:sz="0" w:space="0" w:color="auto"/>
        <w:bottom w:val="none" w:sz="0" w:space="0" w:color="auto"/>
        <w:right w:val="none" w:sz="0" w:space="0" w:color="auto"/>
      </w:divBdr>
    </w:div>
    <w:div w:id="439644398">
      <w:bodyDiv w:val="1"/>
      <w:marLeft w:val="0"/>
      <w:marRight w:val="0"/>
      <w:marTop w:val="0"/>
      <w:marBottom w:val="0"/>
      <w:divBdr>
        <w:top w:val="none" w:sz="0" w:space="0" w:color="auto"/>
        <w:left w:val="none" w:sz="0" w:space="0" w:color="auto"/>
        <w:bottom w:val="none" w:sz="0" w:space="0" w:color="auto"/>
        <w:right w:val="none" w:sz="0" w:space="0" w:color="auto"/>
      </w:divBdr>
    </w:div>
    <w:div w:id="792679126">
      <w:bodyDiv w:val="1"/>
      <w:marLeft w:val="0"/>
      <w:marRight w:val="0"/>
      <w:marTop w:val="0"/>
      <w:marBottom w:val="0"/>
      <w:divBdr>
        <w:top w:val="none" w:sz="0" w:space="0" w:color="auto"/>
        <w:left w:val="none" w:sz="0" w:space="0" w:color="auto"/>
        <w:bottom w:val="none" w:sz="0" w:space="0" w:color="auto"/>
        <w:right w:val="none" w:sz="0" w:space="0" w:color="auto"/>
      </w:divBdr>
    </w:div>
    <w:div w:id="892421794">
      <w:bodyDiv w:val="1"/>
      <w:marLeft w:val="0"/>
      <w:marRight w:val="0"/>
      <w:marTop w:val="0"/>
      <w:marBottom w:val="0"/>
      <w:divBdr>
        <w:top w:val="none" w:sz="0" w:space="0" w:color="auto"/>
        <w:left w:val="none" w:sz="0" w:space="0" w:color="auto"/>
        <w:bottom w:val="none" w:sz="0" w:space="0" w:color="auto"/>
        <w:right w:val="none" w:sz="0" w:space="0" w:color="auto"/>
      </w:divBdr>
      <w:divsChild>
        <w:div w:id="1484077011">
          <w:marLeft w:val="0"/>
          <w:marRight w:val="0"/>
          <w:marTop w:val="0"/>
          <w:marBottom w:val="0"/>
          <w:divBdr>
            <w:top w:val="none" w:sz="0" w:space="0" w:color="auto"/>
            <w:left w:val="none" w:sz="0" w:space="0" w:color="auto"/>
            <w:bottom w:val="none" w:sz="0" w:space="0" w:color="auto"/>
            <w:right w:val="none" w:sz="0" w:space="0" w:color="auto"/>
          </w:divBdr>
        </w:div>
        <w:div w:id="703486036">
          <w:marLeft w:val="0"/>
          <w:marRight w:val="0"/>
          <w:marTop w:val="0"/>
          <w:marBottom w:val="0"/>
          <w:divBdr>
            <w:top w:val="none" w:sz="0" w:space="0" w:color="auto"/>
            <w:left w:val="none" w:sz="0" w:space="0" w:color="auto"/>
            <w:bottom w:val="none" w:sz="0" w:space="0" w:color="auto"/>
            <w:right w:val="none" w:sz="0" w:space="0" w:color="auto"/>
          </w:divBdr>
        </w:div>
        <w:div w:id="759526953">
          <w:marLeft w:val="0"/>
          <w:marRight w:val="0"/>
          <w:marTop w:val="0"/>
          <w:marBottom w:val="0"/>
          <w:divBdr>
            <w:top w:val="none" w:sz="0" w:space="0" w:color="auto"/>
            <w:left w:val="none" w:sz="0" w:space="0" w:color="auto"/>
            <w:bottom w:val="none" w:sz="0" w:space="0" w:color="auto"/>
            <w:right w:val="none" w:sz="0" w:space="0" w:color="auto"/>
          </w:divBdr>
        </w:div>
        <w:div w:id="780878404">
          <w:marLeft w:val="0"/>
          <w:marRight w:val="0"/>
          <w:marTop w:val="0"/>
          <w:marBottom w:val="0"/>
          <w:divBdr>
            <w:top w:val="none" w:sz="0" w:space="0" w:color="auto"/>
            <w:left w:val="none" w:sz="0" w:space="0" w:color="auto"/>
            <w:bottom w:val="none" w:sz="0" w:space="0" w:color="auto"/>
            <w:right w:val="none" w:sz="0" w:space="0" w:color="auto"/>
          </w:divBdr>
        </w:div>
        <w:div w:id="1374228818">
          <w:marLeft w:val="0"/>
          <w:marRight w:val="0"/>
          <w:marTop w:val="0"/>
          <w:marBottom w:val="0"/>
          <w:divBdr>
            <w:top w:val="none" w:sz="0" w:space="0" w:color="auto"/>
            <w:left w:val="none" w:sz="0" w:space="0" w:color="auto"/>
            <w:bottom w:val="none" w:sz="0" w:space="0" w:color="auto"/>
            <w:right w:val="none" w:sz="0" w:space="0" w:color="auto"/>
          </w:divBdr>
        </w:div>
        <w:div w:id="178735314">
          <w:marLeft w:val="0"/>
          <w:marRight w:val="0"/>
          <w:marTop w:val="0"/>
          <w:marBottom w:val="0"/>
          <w:divBdr>
            <w:top w:val="none" w:sz="0" w:space="0" w:color="auto"/>
            <w:left w:val="none" w:sz="0" w:space="0" w:color="auto"/>
            <w:bottom w:val="none" w:sz="0" w:space="0" w:color="auto"/>
            <w:right w:val="none" w:sz="0" w:space="0" w:color="auto"/>
          </w:divBdr>
        </w:div>
      </w:divsChild>
    </w:div>
    <w:div w:id="1005978487">
      <w:bodyDiv w:val="1"/>
      <w:marLeft w:val="0"/>
      <w:marRight w:val="0"/>
      <w:marTop w:val="0"/>
      <w:marBottom w:val="0"/>
      <w:divBdr>
        <w:top w:val="none" w:sz="0" w:space="0" w:color="auto"/>
        <w:left w:val="none" w:sz="0" w:space="0" w:color="auto"/>
        <w:bottom w:val="none" w:sz="0" w:space="0" w:color="auto"/>
        <w:right w:val="none" w:sz="0" w:space="0" w:color="auto"/>
      </w:divBdr>
      <w:divsChild>
        <w:div w:id="883827226">
          <w:marLeft w:val="0"/>
          <w:marRight w:val="0"/>
          <w:marTop w:val="0"/>
          <w:marBottom w:val="0"/>
          <w:divBdr>
            <w:top w:val="none" w:sz="0" w:space="0" w:color="auto"/>
            <w:left w:val="none" w:sz="0" w:space="0" w:color="auto"/>
            <w:bottom w:val="none" w:sz="0" w:space="0" w:color="auto"/>
            <w:right w:val="none" w:sz="0" w:space="0" w:color="auto"/>
          </w:divBdr>
        </w:div>
        <w:div w:id="1418020296">
          <w:marLeft w:val="0"/>
          <w:marRight w:val="0"/>
          <w:marTop w:val="0"/>
          <w:marBottom w:val="0"/>
          <w:divBdr>
            <w:top w:val="none" w:sz="0" w:space="0" w:color="auto"/>
            <w:left w:val="none" w:sz="0" w:space="0" w:color="auto"/>
            <w:bottom w:val="none" w:sz="0" w:space="0" w:color="auto"/>
            <w:right w:val="none" w:sz="0" w:space="0" w:color="auto"/>
          </w:divBdr>
        </w:div>
        <w:div w:id="598147680">
          <w:marLeft w:val="0"/>
          <w:marRight w:val="0"/>
          <w:marTop w:val="0"/>
          <w:marBottom w:val="0"/>
          <w:divBdr>
            <w:top w:val="none" w:sz="0" w:space="0" w:color="auto"/>
            <w:left w:val="none" w:sz="0" w:space="0" w:color="auto"/>
            <w:bottom w:val="none" w:sz="0" w:space="0" w:color="auto"/>
            <w:right w:val="none" w:sz="0" w:space="0" w:color="auto"/>
          </w:divBdr>
        </w:div>
        <w:div w:id="701713922">
          <w:marLeft w:val="0"/>
          <w:marRight w:val="0"/>
          <w:marTop w:val="0"/>
          <w:marBottom w:val="0"/>
          <w:divBdr>
            <w:top w:val="none" w:sz="0" w:space="0" w:color="auto"/>
            <w:left w:val="none" w:sz="0" w:space="0" w:color="auto"/>
            <w:bottom w:val="none" w:sz="0" w:space="0" w:color="auto"/>
            <w:right w:val="none" w:sz="0" w:space="0" w:color="auto"/>
          </w:divBdr>
        </w:div>
      </w:divsChild>
    </w:div>
    <w:div w:id="1099447172">
      <w:bodyDiv w:val="1"/>
      <w:marLeft w:val="0"/>
      <w:marRight w:val="0"/>
      <w:marTop w:val="0"/>
      <w:marBottom w:val="0"/>
      <w:divBdr>
        <w:top w:val="none" w:sz="0" w:space="0" w:color="auto"/>
        <w:left w:val="none" w:sz="0" w:space="0" w:color="auto"/>
        <w:bottom w:val="none" w:sz="0" w:space="0" w:color="auto"/>
        <w:right w:val="none" w:sz="0" w:space="0" w:color="auto"/>
      </w:divBdr>
    </w:div>
    <w:div w:id="1217742370">
      <w:bodyDiv w:val="1"/>
      <w:marLeft w:val="0"/>
      <w:marRight w:val="0"/>
      <w:marTop w:val="0"/>
      <w:marBottom w:val="0"/>
      <w:divBdr>
        <w:top w:val="none" w:sz="0" w:space="0" w:color="auto"/>
        <w:left w:val="none" w:sz="0" w:space="0" w:color="auto"/>
        <w:bottom w:val="none" w:sz="0" w:space="0" w:color="auto"/>
        <w:right w:val="none" w:sz="0" w:space="0" w:color="auto"/>
      </w:divBdr>
    </w:div>
    <w:div w:id="1300721877">
      <w:bodyDiv w:val="1"/>
      <w:marLeft w:val="0"/>
      <w:marRight w:val="0"/>
      <w:marTop w:val="0"/>
      <w:marBottom w:val="0"/>
      <w:divBdr>
        <w:top w:val="none" w:sz="0" w:space="0" w:color="auto"/>
        <w:left w:val="none" w:sz="0" w:space="0" w:color="auto"/>
        <w:bottom w:val="none" w:sz="0" w:space="0" w:color="auto"/>
        <w:right w:val="none" w:sz="0" w:space="0" w:color="auto"/>
      </w:divBdr>
      <w:divsChild>
        <w:div w:id="522089366">
          <w:marLeft w:val="0"/>
          <w:marRight w:val="0"/>
          <w:marTop w:val="0"/>
          <w:marBottom w:val="0"/>
          <w:divBdr>
            <w:top w:val="none" w:sz="0" w:space="0" w:color="auto"/>
            <w:left w:val="none" w:sz="0" w:space="0" w:color="auto"/>
            <w:bottom w:val="none" w:sz="0" w:space="0" w:color="auto"/>
            <w:right w:val="none" w:sz="0" w:space="0" w:color="auto"/>
          </w:divBdr>
        </w:div>
        <w:div w:id="2040933185">
          <w:marLeft w:val="0"/>
          <w:marRight w:val="0"/>
          <w:marTop w:val="0"/>
          <w:marBottom w:val="0"/>
          <w:divBdr>
            <w:top w:val="none" w:sz="0" w:space="0" w:color="auto"/>
            <w:left w:val="none" w:sz="0" w:space="0" w:color="auto"/>
            <w:bottom w:val="none" w:sz="0" w:space="0" w:color="auto"/>
            <w:right w:val="none" w:sz="0" w:space="0" w:color="auto"/>
          </w:divBdr>
        </w:div>
        <w:div w:id="2053967037">
          <w:marLeft w:val="0"/>
          <w:marRight w:val="0"/>
          <w:marTop w:val="0"/>
          <w:marBottom w:val="0"/>
          <w:divBdr>
            <w:top w:val="none" w:sz="0" w:space="0" w:color="auto"/>
            <w:left w:val="none" w:sz="0" w:space="0" w:color="auto"/>
            <w:bottom w:val="none" w:sz="0" w:space="0" w:color="auto"/>
            <w:right w:val="none" w:sz="0" w:space="0" w:color="auto"/>
          </w:divBdr>
        </w:div>
        <w:div w:id="915433004">
          <w:marLeft w:val="0"/>
          <w:marRight w:val="0"/>
          <w:marTop w:val="0"/>
          <w:marBottom w:val="0"/>
          <w:divBdr>
            <w:top w:val="none" w:sz="0" w:space="0" w:color="auto"/>
            <w:left w:val="none" w:sz="0" w:space="0" w:color="auto"/>
            <w:bottom w:val="none" w:sz="0" w:space="0" w:color="auto"/>
            <w:right w:val="none" w:sz="0" w:space="0" w:color="auto"/>
          </w:divBdr>
        </w:div>
      </w:divsChild>
    </w:div>
    <w:div w:id="1348408343">
      <w:bodyDiv w:val="1"/>
      <w:marLeft w:val="0"/>
      <w:marRight w:val="0"/>
      <w:marTop w:val="0"/>
      <w:marBottom w:val="0"/>
      <w:divBdr>
        <w:top w:val="none" w:sz="0" w:space="0" w:color="auto"/>
        <w:left w:val="none" w:sz="0" w:space="0" w:color="auto"/>
        <w:bottom w:val="none" w:sz="0" w:space="0" w:color="auto"/>
        <w:right w:val="none" w:sz="0" w:space="0" w:color="auto"/>
      </w:divBdr>
      <w:divsChild>
        <w:div w:id="1257053442">
          <w:marLeft w:val="0"/>
          <w:marRight w:val="0"/>
          <w:marTop w:val="0"/>
          <w:marBottom w:val="0"/>
          <w:divBdr>
            <w:top w:val="none" w:sz="0" w:space="0" w:color="auto"/>
            <w:left w:val="none" w:sz="0" w:space="0" w:color="auto"/>
            <w:bottom w:val="none" w:sz="0" w:space="0" w:color="auto"/>
            <w:right w:val="none" w:sz="0" w:space="0" w:color="auto"/>
          </w:divBdr>
        </w:div>
        <w:div w:id="1396585376">
          <w:marLeft w:val="0"/>
          <w:marRight w:val="0"/>
          <w:marTop w:val="0"/>
          <w:marBottom w:val="0"/>
          <w:divBdr>
            <w:top w:val="none" w:sz="0" w:space="0" w:color="auto"/>
            <w:left w:val="none" w:sz="0" w:space="0" w:color="auto"/>
            <w:bottom w:val="none" w:sz="0" w:space="0" w:color="auto"/>
            <w:right w:val="none" w:sz="0" w:space="0" w:color="auto"/>
          </w:divBdr>
        </w:div>
        <w:div w:id="541282326">
          <w:marLeft w:val="0"/>
          <w:marRight w:val="0"/>
          <w:marTop w:val="0"/>
          <w:marBottom w:val="0"/>
          <w:divBdr>
            <w:top w:val="none" w:sz="0" w:space="0" w:color="auto"/>
            <w:left w:val="none" w:sz="0" w:space="0" w:color="auto"/>
            <w:bottom w:val="none" w:sz="0" w:space="0" w:color="auto"/>
            <w:right w:val="none" w:sz="0" w:space="0" w:color="auto"/>
          </w:divBdr>
        </w:div>
        <w:div w:id="165438980">
          <w:marLeft w:val="0"/>
          <w:marRight w:val="0"/>
          <w:marTop w:val="0"/>
          <w:marBottom w:val="0"/>
          <w:divBdr>
            <w:top w:val="none" w:sz="0" w:space="0" w:color="auto"/>
            <w:left w:val="none" w:sz="0" w:space="0" w:color="auto"/>
            <w:bottom w:val="none" w:sz="0" w:space="0" w:color="auto"/>
            <w:right w:val="none" w:sz="0" w:space="0" w:color="auto"/>
          </w:divBdr>
        </w:div>
      </w:divsChild>
    </w:div>
    <w:div w:id="1373531213">
      <w:bodyDiv w:val="1"/>
      <w:marLeft w:val="0"/>
      <w:marRight w:val="0"/>
      <w:marTop w:val="0"/>
      <w:marBottom w:val="0"/>
      <w:divBdr>
        <w:top w:val="none" w:sz="0" w:space="0" w:color="auto"/>
        <w:left w:val="none" w:sz="0" w:space="0" w:color="auto"/>
        <w:bottom w:val="none" w:sz="0" w:space="0" w:color="auto"/>
        <w:right w:val="none" w:sz="0" w:space="0" w:color="auto"/>
      </w:divBdr>
      <w:divsChild>
        <w:div w:id="986014168">
          <w:marLeft w:val="0"/>
          <w:marRight w:val="0"/>
          <w:marTop w:val="0"/>
          <w:marBottom w:val="0"/>
          <w:divBdr>
            <w:top w:val="none" w:sz="0" w:space="0" w:color="auto"/>
            <w:left w:val="none" w:sz="0" w:space="0" w:color="auto"/>
            <w:bottom w:val="none" w:sz="0" w:space="0" w:color="auto"/>
            <w:right w:val="none" w:sz="0" w:space="0" w:color="auto"/>
          </w:divBdr>
        </w:div>
        <w:div w:id="1355887242">
          <w:marLeft w:val="0"/>
          <w:marRight w:val="0"/>
          <w:marTop w:val="0"/>
          <w:marBottom w:val="0"/>
          <w:divBdr>
            <w:top w:val="none" w:sz="0" w:space="0" w:color="auto"/>
            <w:left w:val="none" w:sz="0" w:space="0" w:color="auto"/>
            <w:bottom w:val="none" w:sz="0" w:space="0" w:color="auto"/>
            <w:right w:val="none" w:sz="0" w:space="0" w:color="auto"/>
          </w:divBdr>
        </w:div>
        <w:div w:id="1724909392">
          <w:marLeft w:val="0"/>
          <w:marRight w:val="0"/>
          <w:marTop w:val="0"/>
          <w:marBottom w:val="0"/>
          <w:divBdr>
            <w:top w:val="none" w:sz="0" w:space="0" w:color="auto"/>
            <w:left w:val="none" w:sz="0" w:space="0" w:color="auto"/>
            <w:bottom w:val="none" w:sz="0" w:space="0" w:color="auto"/>
            <w:right w:val="none" w:sz="0" w:space="0" w:color="auto"/>
          </w:divBdr>
        </w:div>
        <w:div w:id="64030454">
          <w:marLeft w:val="0"/>
          <w:marRight w:val="0"/>
          <w:marTop w:val="0"/>
          <w:marBottom w:val="0"/>
          <w:divBdr>
            <w:top w:val="none" w:sz="0" w:space="0" w:color="auto"/>
            <w:left w:val="none" w:sz="0" w:space="0" w:color="auto"/>
            <w:bottom w:val="none" w:sz="0" w:space="0" w:color="auto"/>
            <w:right w:val="none" w:sz="0" w:space="0" w:color="auto"/>
          </w:divBdr>
        </w:div>
        <w:div w:id="340855991">
          <w:marLeft w:val="0"/>
          <w:marRight w:val="0"/>
          <w:marTop w:val="0"/>
          <w:marBottom w:val="0"/>
          <w:divBdr>
            <w:top w:val="none" w:sz="0" w:space="0" w:color="auto"/>
            <w:left w:val="none" w:sz="0" w:space="0" w:color="auto"/>
            <w:bottom w:val="none" w:sz="0" w:space="0" w:color="auto"/>
            <w:right w:val="none" w:sz="0" w:space="0" w:color="auto"/>
          </w:divBdr>
        </w:div>
      </w:divsChild>
    </w:div>
    <w:div w:id="1466118434">
      <w:bodyDiv w:val="1"/>
      <w:marLeft w:val="0"/>
      <w:marRight w:val="0"/>
      <w:marTop w:val="0"/>
      <w:marBottom w:val="0"/>
      <w:divBdr>
        <w:top w:val="none" w:sz="0" w:space="0" w:color="auto"/>
        <w:left w:val="none" w:sz="0" w:space="0" w:color="auto"/>
        <w:bottom w:val="none" w:sz="0" w:space="0" w:color="auto"/>
        <w:right w:val="none" w:sz="0" w:space="0" w:color="auto"/>
      </w:divBdr>
    </w:div>
    <w:div w:id="1612207855">
      <w:bodyDiv w:val="1"/>
      <w:marLeft w:val="0"/>
      <w:marRight w:val="0"/>
      <w:marTop w:val="0"/>
      <w:marBottom w:val="0"/>
      <w:divBdr>
        <w:top w:val="none" w:sz="0" w:space="0" w:color="auto"/>
        <w:left w:val="none" w:sz="0" w:space="0" w:color="auto"/>
        <w:bottom w:val="none" w:sz="0" w:space="0" w:color="auto"/>
        <w:right w:val="none" w:sz="0" w:space="0" w:color="auto"/>
      </w:divBdr>
      <w:divsChild>
        <w:div w:id="1097602866">
          <w:marLeft w:val="0"/>
          <w:marRight w:val="0"/>
          <w:marTop w:val="0"/>
          <w:marBottom w:val="0"/>
          <w:divBdr>
            <w:top w:val="none" w:sz="0" w:space="0" w:color="auto"/>
            <w:left w:val="none" w:sz="0" w:space="0" w:color="auto"/>
            <w:bottom w:val="none" w:sz="0" w:space="0" w:color="auto"/>
            <w:right w:val="none" w:sz="0" w:space="0" w:color="auto"/>
          </w:divBdr>
        </w:div>
        <w:div w:id="1790393511">
          <w:marLeft w:val="0"/>
          <w:marRight w:val="0"/>
          <w:marTop w:val="0"/>
          <w:marBottom w:val="0"/>
          <w:divBdr>
            <w:top w:val="none" w:sz="0" w:space="0" w:color="auto"/>
            <w:left w:val="none" w:sz="0" w:space="0" w:color="auto"/>
            <w:bottom w:val="none" w:sz="0" w:space="0" w:color="auto"/>
            <w:right w:val="none" w:sz="0" w:space="0" w:color="auto"/>
          </w:divBdr>
        </w:div>
        <w:div w:id="1637029489">
          <w:marLeft w:val="0"/>
          <w:marRight w:val="0"/>
          <w:marTop w:val="0"/>
          <w:marBottom w:val="0"/>
          <w:divBdr>
            <w:top w:val="none" w:sz="0" w:space="0" w:color="auto"/>
            <w:left w:val="none" w:sz="0" w:space="0" w:color="auto"/>
            <w:bottom w:val="none" w:sz="0" w:space="0" w:color="auto"/>
            <w:right w:val="none" w:sz="0" w:space="0" w:color="auto"/>
          </w:divBdr>
        </w:div>
        <w:div w:id="2127845545">
          <w:marLeft w:val="0"/>
          <w:marRight w:val="0"/>
          <w:marTop w:val="0"/>
          <w:marBottom w:val="0"/>
          <w:divBdr>
            <w:top w:val="none" w:sz="0" w:space="0" w:color="auto"/>
            <w:left w:val="none" w:sz="0" w:space="0" w:color="auto"/>
            <w:bottom w:val="none" w:sz="0" w:space="0" w:color="auto"/>
            <w:right w:val="none" w:sz="0" w:space="0" w:color="auto"/>
          </w:divBdr>
        </w:div>
        <w:div w:id="1782722564">
          <w:marLeft w:val="0"/>
          <w:marRight w:val="0"/>
          <w:marTop w:val="0"/>
          <w:marBottom w:val="0"/>
          <w:divBdr>
            <w:top w:val="none" w:sz="0" w:space="0" w:color="auto"/>
            <w:left w:val="none" w:sz="0" w:space="0" w:color="auto"/>
            <w:bottom w:val="none" w:sz="0" w:space="0" w:color="auto"/>
            <w:right w:val="none" w:sz="0" w:space="0" w:color="auto"/>
          </w:divBdr>
        </w:div>
        <w:div w:id="565721322">
          <w:marLeft w:val="0"/>
          <w:marRight w:val="0"/>
          <w:marTop w:val="0"/>
          <w:marBottom w:val="0"/>
          <w:divBdr>
            <w:top w:val="none" w:sz="0" w:space="0" w:color="auto"/>
            <w:left w:val="none" w:sz="0" w:space="0" w:color="auto"/>
            <w:bottom w:val="none" w:sz="0" w:space="0" w:color="auto"/>
            <w:right w:val="none" w:sz="0" w:space="0" w:color="auto"/>
          </w:divBdr>
        </w:div>
        <w:div w:id="304090559">
          <w:marLeft w:val="0"/>
          <w:marRight w:val="0"/>
          <w:marTop w:val="0"/>
          <w:marBottom w:val="0"/>
          <w:divBdr>
            <w:top w:val="none" w:sz="0" w:space="0" w:color="auto"/>
            <w:left w:val="none" w:sz="0" w:space="0" w:color="auto"/>
            <w:bottom w:val="none" w:sz="0" w:space="0" w:color="auto"/>
            <w:right w:val="none" w:sz="0" w:space="0" w:color="auto"/>
          </w:divBdr>
        </w:div>
      </w:divsChild>
    </w:div>
    <w:div w:id="1780760816">
      <w:bodyDiv w:val="1"/>
      <w:marLeft w:val="0"/>
      <w:marRight w:val="0"/>
      <w:marTop w:val="0"/>
      <w:marBottom w:val="0"/>
      <w:divBdr>
        <w:top w:val="none" w:sz="0" w:space="0" w:color="auto"/>
        <w:left w:val="none" w:sz="0" w:space="0" w:color="auto"/>
        <w:bottom w:val="none" w:sz="0" w:space="0" w:color="auto"/>
        <w:right w:val="none" w:sz="0" w:space="0" w:color="auto"/>
      </w:divBdr>
      <w:divsChild>
        <w:div w:id="897400510">
          <w:marLeft w:val="0"/>
          <w:marRight w:val="0"/>
          <w:marTop w:val="0"/>
          <w:marBottom w:val="0"/>
          <w:divBdr>
            <w:top w:val="none" w:sz="0" w:space="0" w:color="auto"/>
            <w:left w:val="none" w:sz="0" w:space="0" w:color="auto"/>
            <w:bottom w:val="none" w:sz="0" w:space="0" w:color="auto"/>
            <w:right w:val="none" w:sz="0" w:space="0" w:color="auto"/>
          </w:divBdr>
        </w:div>
        <w:div w:id="540174423">
          <w:marLeft w:val="0"/>
          <w:marRight w:val="0"/>
          <w:marTop w:val="0"/>
          <w:marBottom w:val="0"/>
          <w:divBdr>
            <w:top w:val="none" w:sz="0" w:space="0" w:color="auto"/>
            <w:left w:val="none" w:sz="0" w:space="0" w:color="auto"/>
            <w:bottom w:val="none" w:sz="0" w:space="0" w:color="auto"/>
            <w:right w:val="none" w:sz="0" w:space="0" w:color="auto"/>
          </w:divBdr>
        </w:div>
        <w:div w:id="1811943426">
          <w:marLeft w:val="0"/>
          <w:marRight w:val="0"/>
          <w:marTop w:val="0"/>
          <w:marBottom w:val="0"/>
          <w:divBdr>
            <w:top w:val="none" w:sz="0" w:space="0" w:color="auto"/>
            <w:left w:val="none" w:sz="0" w:space="0" w:color="auto"/>
            <w:bottom w:val="none" w:sz="0" w:space="0" w:color="auto"/>
            <w:right w:val="none" w:sz="0" w:space="0" w:color="auto"/>
          </w:divBdr>
        </w:div>
        <w:div w:id="866603371">
          <w:marLeft w:val="0"/>
          <w:marRight w:val="0"/>
          <w:marTop w:val="0"/>
          <w:marBottom w:val="0"/>
          <w:divBdr>
            <w:top w:val="none" w:sz="0" w:space="0" w:color="auto"/>
            <w:left w:val="none" w:sz="0" w:space="0" w:color="auto"/>
            <w:bottom w:val="none" w:sz="0" w:space="0" w:color="auto"/>
            <w:right w:val="none" w:sz="0" w:space="0" w:color="auto"/>
          </w:divBdr>
        </w:div>
        <w:div w:id="240679987">
          <w:marLeft w:val="0"/>
          <w:marRight w:val="0"/>
          <w:marTop w:val="0"/>
          <w:marBottom w:val="0"/>
          <w:divBdr>
            <w:top w:val="none" w:sz="0" w:space="0" w:color="auto"/>
            <w:left w:val="none" w:sz="0" w:space="0" w:color="auto"/>
            <w:bottom w:val="none" w:sz="0" w:space="0" w:color="auto"/>
            <w:right w:val="none" w:sz="0" w:space="0" w:color="auto"/>
          </w:divBdr>
        </w:div>
      </w:divsChild>
    </w:div>
    <w:div w:id="1846936042">
      <w:bodyDiv w:val="1"/>
      <w:marLeft w:val="0"/>
      <w:marRight w:val="0"/>
      <w:marTop w:val="0"/>
      <w:marBottom w:val="0"/>
      <w:divBdr>
        <w:top w:val="none" w:sz="0" w:space="0" w:color="auto"/>
        <w:left w:val="none" w:sz="0" w:space="0" w:color="auto"/>
        <w:bottom w:val="none" w:sz="0" w:space="0" w:color="auto"/>
        <w:right w:val="none" w:sz="0" w:space="0" w:color="auto"/>
      </w:divBdr>
      <w:divsChild>
        <w:div w:id="478545133">
          <w:marLeft w:val="0"/>
          <w:marRight w:val="0"/>
          <w:marTop w:val="0"/>
          <w:marBottom w:val="0"/>
          <w:divBdr>
            <w:top w:val="none" w:sz="0" w:space="0" w:color="auto"/>
            <w:left w:val="none" w:sz="0" w:space="0" w:color="auto"/>
            <w:bottom w:val="none" w:sz="0" w:space="0" w:color="auto"/>
            <w:right w:val="none" w:sz="0" w:space="0" w:color="auto"/>
          </w:divBdr>
        </w:div>
        <w:div w:id="1933195176">
          <w:marLeft w:val="0"/>
          <w:marRight w:val="0"/>
          <w:marTop w:val="0"/>
          <w:marBottom w:val="0"/>
          <w:divBdr>
            <w:top w:val="none" w:sz="0" w:space="0" w:color="auto"/>
            <w:left w:val="none" w:sz="0" w:space="0" w:color="auto"/>
            <w:bottom w:val="none" w:sz="0" w:space="0" w:color="auto"/>
            <w:right w:val="none" w:sz="0" w:space="0" w:color="auto"/>
          </w:divBdr>
        </w:div>
        <w:div w:id="918099488">
          <w:marLeft w:val="0"/>
          <w:marRight w:val="0"/>
          <w:marTop w:val="0"/>
          <w:marBottom w:val="0"/>
          <w:divBdr>
            <w:top w:val="none" w:sz="0" w:space="0" w:color="auto"/>
            <w:left w:val="none" w:sz="0" w:space="0" w:color="auto"/>
            <w:bottom w:val="none" w:sz="0" w:space="0" w:color="auto"/>
            <w:right w:val="none" w:sz="0" w:space="0" w:color="auto"/>
          </w:divBdr>
        </w:div>
        <w:div w:id="1398361901">
          <w:marLeft w:val="0"/>
          <w:marRight w:val="0"/>
          <w:marTop w:val="0"/>
          <w:marBottom w:val="0"/>
          <w:divBdr>
            <w:top w:val="none" w:sz="0" w:space="0" w:color="auto"/>
            <w:left w:val="none" w:sz="0" w:space="0" w:color="auto"/>
            <w:bottom w:val="none" w:sz="0" w:space="0" w:color="auto"/>
            <w:right w:val="none" w:sz="0" w:space="0" w:color="auto"/>
          </w:divBdr>
        </w:div>
        <w:div w:id="151987048">
          <w:marLeft w:val="0"/>
          <w:marRight w:val="0"/>
          <w:marTop w:val="0"/>
          <w:marBottom w:val="0"/>
          <w:divBdr>
            <w:top w:val="none" w:sz="0" w:space="0" w:color="auto"/>
            <w:left w:val="none" w:sz="0" w:space="0" w:color="auto"/>
            <w:bottom w:val="none" w:sz="0" w:space="0" w:color="auto"/>
            <w:right w:val="none" w:sz="0" w:space="0" w:color="auto"/>
          </w:divBdr>
        </w:div>
      </w:divsChild>
    </w:div>
    <w:div w:id="2060133222">
      <w:bodyDiv w:val="1"/>
      <w:marLeft w:val="0"/>
      <w:marRight w:val="0"/>
      <w:marTop w:val="0"/>
      <w:marBottom w:val="0"/>
      <w:divBdr>
        <w:top w:val="none" w:sz="0" w:space="0" w:color="auto"/>
        <w:left w:val="none" w:sz="0" w:space="0" w:color="auto"/>
        <w:bottom w:val="none" w:sz="0" w:space="0" w:color="auto"/>
        <w:right w:val="none" w:sz="0" w:space="0" w:color="auto"/>
      </w:divBdr>
      <w:divsChild>
        <w:div w:id="65807109">
          <w:marLeft w:val="0"/>
          <w:marRight w:val="0"/>
          <w:marTop w:val="0"/>
          <w:marBottom w:val="0"/>
          <w:divBdr>
            <w:top w:val="none" w:sz="0" w:space="0" w:color="auto"/>
            <w:left w:val="none" w:sz="0" w:space="0" w:color="auto"/>
            <w:bottom w:val="none" w:sz="0" w:space="0" w:color="auto"/>
            <w:right w:val="none" w:sz="0" w:space="0" w:color="auto"/>
          </w:divBdr>
        </w:div>
        <w:div w:id="74712556">
          <w:marLeft w:val="0"/>
          <w:marRight w:val="0"/>
          <w:marTop w:val="0"/>
          <w:marBottom w:val="0"/>
          <w:divBdr>
            <w:top w:val="none" w:sz="0" w:space="0" w:color="auto"/>
            <w:left w:val="none" w:sz="0" w:space="0" w:color="auto"/>
            <w:bottom w:val="none" w:sz="0" w:space="0" w:color="auto"/>
            <w:right w:val="none" w:sz="0" w:space="0" w:color="auto"/>
          </w:divBdr>
        </w:div>
        <w:div w:id="1236696701">
          <w:marLeft w:val="0"/>
          <w:marRight w:val="0"/>
          <w:marTop w:val="0"/>
          <w:marBottom w:val="0"/>
          <w:divBdr>
            <w:top w:val="none" w:sz="0" w:space="0" w:color="auto"/>
            <w:left w:val="none" w:sz="0" w:space="0" w:color="auto"/>
            <w:bottom w:val="none" w:sz="0" w:space="0" w:color="auto"/>
            <w:right w:val="none" w:sz="0" w:space="0" w:color="auto"/>
          </w:divBdr>
        </w:div>
        <w:div w:id="678655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sccc.org/sites/default/files/ASCCC.ResolutionsHandbook2021updated.pdf"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s://leginfo.legislature.ca.gov/faces/codes_displaySection.xhtml?lawCode=EDC&amp;sectionNum=76396.3" TargetMode="External"/><Relationship Id="rId21" Type="http://schemas.openxmlformats.org/officeDocument/2006/relationships/hyperlink" Target="https://govt.westlaw.com/calregs/Document/I61E6B7734C6911EC93A8000D3A7C4BC3?viewType=FullText&amp;originationContext=documenttoc&amp;transitionType=CategoryPageItem&amp;contextData=(sc.Default)" TargetMode="External"/><Relationship Id="rId42" Type="http://schemas.openxmlformats.org/officeDocument/2006/relationships/hyperlink" Target="https://icas-ca.org/wp-content/uploads/2024/01/Cal-GETC_Standards_1v1_2023.pdf" TargetMode="External"/><Relationship Id="rId63" Type="http://schemas.openxmlformats.org/officeDocument/2006/relationships/hyperlink" Target="https://www.asccc.org/rostrum-reader/2024/February" TargetMode="External"/><Relationship Id="rId84" Type="http://schemas.openxmlformats.org/officeDocument/2006/relationships/hyperlink" Target="https://www.asccc.org/sites/default/files/Academic_Freedom_F20.pdf" TargetMode="External"/><Relationship Id="rId138" Type="http://schemas.openxmlformats.org/officeDocument/2006/relationships/hyperlink" Target="https://asccc.org/resolutions/audit-matriculation-funds" TargetMode="External"/><Relationship Id="rId159" Type="http://schemas.openxmlformats.org/officeDocument/2006/relationships/hyperlink" Target="https://www.asccc.org/resolutions/disaggregate-asian-and-pacific-islander-student-data" TargetMode="External"/><Relationship Id="rId170" Type="http://schemas.openxmlformats.org/officeDocument/2006/relationships/hyperlink" Target="https://leginfo.legislature.ca.gov/faces/billNavClient.xhtml?bill_id=202120220AB1705" TargetMode="External"/><Relationship Id="rId107" Type="http://schemas.openxmlformats.org/officeDocument/2006/relationships/hyperlink" Target="https://leginfo.legislature.ca.gov/faces/billNavClient.xhtml?bill_id=202320240AB2586" TargetMode="External"/><Relationship Id="rId11" Type="http://schemas.openxmlformats.org/officeDocument/2006/relationships/hyperlink" Target="https://asccc.org/resolutions/ensuring-anti-racist-california-community-college-online-faculty-training-materials" TargetMode="External"/><Relationship Id="rId32" Type="http://schemas.openxmlformats.org/officeDocument/2006/relationships/hyperlink" Target="https://icas-ca.org/wp-content/uploads/2024/01/Cal-GETC_Standards_1v1_2023.pdf" TargetMode="External"/><Relationship Id="rId53" Type="http://schemas.openxmlformats.org/officeDocument/2006/relationships/hyperlink" Target="https://www.calstate.edu/apply/freshman/getting_into_the_csu/pages/admission-requirements.aspx" TargetMode="External"/><Relationship Id="rId74" Type="http://schemas.openxmlformats.org/officeDocument/2006/relationships/hyperlink" Target="https://govt.westlaw.com/calregs/Document/IE381D74056B511ED9336FE00FB183132?viewType=FullText&amp;originationContext=documenttoc&amp;transitionType=CategoryPageItem&amp;contextData=(sc.Default)" TargetMode="External"/><Relationship Id="rId128" Type="http://schemas.openxmlformats.org/officeDocument/2006/relationships/hyperlink" Target="https://asccc.org/resolutions/concurrent-enrollment-university-california" TargetMode="External"/><Relationship Id="rId149" Type="http://schemas.openxmlformats.org/officeDocument/2006/relationships/hyperlink" Target="https://www.asccc.org/resolutions/noncredit-instruction-and-shared-governance" TargetMode="External"/><Relationship Id="rId5" Type="http://schemas.openxmlformats.org/officeDocument/2006/relationships/hyperlink" Target="https://www.asccc.org/resolutions/support-revisions-title-5-include-deia-course-outline-record" TargetMode="External"/><Relationship Id="rId95" Type="http://schemas.openxmlformats.org/officeDocument/2006/relationships/hyperlink" Target="https://leginfo.legislature.ca.gov/faces/billNavClient.xhtml?bill_id=202320240SB895" TargetMode="External"/><Relationship Id="rId160" Type="http://schemas.openxmlformats.org/officeDocument/2006/relationships/hyperlink" Target="https://webdata.cccco.edu/ded/sb/sb38.pdf" TargetMode="External"/><Relationship Id="rId22" Type="http://schemas.openxmlformats.org/officeDocument/2006/relationships/hyperlink" Target="https://leginfo.legislature.ca.gov/faces/codes_displaySection.xhtml?sectionNum=70902.&amp;lawCode=EDC" TargetMode="External"/><Relationship Id="rId43" Type="http://schemas.openxmlformats.org/officeDocument/2006/relationships/hyperlink" Target="https://icas-ca.org/wp-content/uploads/2024/01/Cal-GETC_Standards_1v1_2023.pdf" TargetMode="External"/><Relationship Id="rId64" Type="http://schemas.openxmlformats.org/officeDocument/2006/relationships/hyperlink" Target="https://asccc.org/resolutions/allowing-use-credit-prior-learning-cal-getc" TargetMode="External"/><Relationship Id="rId118" Type="http://schemas.openxmlformats.org/officeDocument/2006/relationships/hyperlink" Target="https://asccc.org/resolutions/support-ab-927-medina-2021-april-9-2021" TargetMode="External"/><Relationship Id="rId139" Type="http://schemas.openxmlformats.org/officeDocument/2006/relationships/hyperlink" Target="https://www.asccc.org/resolutions/prioritizing-prevention-sexual-harassment-and-discrimination-california-community" TargetMode="External"/><Relationship Id="rId85" Type="http://schemas.openxmlformats.org/officeDocument/2006/relationships/hyperlink" Target="https://www.asccc.org/sites/default/files/Academic_Freedom_F20.pdf" TargetMode="External"/><Relationship Id="rId150" Type="http://schemas.openxmlformats.org/officeDocument/2006/relationships/hyperlink" Target="https://www.asccc.org/resolutions/minimum-qualifications-noncredit-instruction" TargetMode="External"/><Relationship Id="rId171" Type="http://schemas.openxmlformats.org/officeDocument/2006/relationships/hyperlink" Target="https://www.aclu.org/news/free-speech/defending-free-speech-students-justice-palestine-florida" TargetMode="External"/><Relationship Id="rId12" Type="http://schemas.openxmlformats.org/officeDocument/2006/relationships/hyperlink" Target="https://asccc.org/resolutions/resolution-support-academic-freedomsolidarity-faculty-across-nation" TargetMode="External"/><Relationship Id="rId33" Type="http://schemas.openxmlformats.org/officeDocument/2006/relationships/hyperlink" Target="https://www.asccc.org/transfer-alignment-project" TargetMode="External"/><Relationship Id="rId108" Type="http://schemas.openxmlformats.org/officeDocument/2006/relationships/hyperlink" Target="https://asccc.org/resolutions/concurrent-enrollment-university-california" TargetMode="External"/><Relationship Id="rId129" Type="http://schemas.openxmlformats.org/officeDocument/2006/relationships/hyperlink" Target="https://asccc.org/resolutions/uc-catalog-rights-nonurgent-spring-1999" TargetMode="External"/><Relationship Id="rId54" Type="http://schemas.openxmlformats.org/officeDocument/2006/relationships/hyperlink" Target="https://admission.universityofcalifornia.edu/admission-requirements/freshman-requirements/" TargetMode="External"/><Relationship Id="rId75" Type="http://schemas.openxmlformats.org/officeDocument/2006/relationships/hyperlink" Target="https://govt.westlaw.com/calregs/Document/I639922634C6911EC93A8000D3A7C4BC3?viewType=FullText&amp;originationContext=documenttoc&amp;transitionType=CategoryPageItem&amp;contextData=(sc.Default)" TargetMode="External"/><Relationship Id="rId96" Type="http://schemas.openxmlformats.org/officeDocument/2006/relationships/hyperlink" Target="https://leginfo.legislature.ca.gov/faces/billNavClient.xhtml?bill_id=202320240ACR147" TargetMode="External"/><Relationship Id="rId140" Type="http://schemas.openxmlformats.org/officeDocument/2006/relationships/hyperlink" Target="https://leginfo.legislature.ca.gov/faces/billNavClient.xhtml?bill_id=202320240AB2407" TargetMode="External"/><Relationship Id="rId161" Type="http://schemas.openxmlformats.org/officeDocument/2006/relationships/hyperlink" Target="https://www.federalregister.gov/documents/2024/03/29/2024-06469/revisions-to-ombs-statistical-policy-directive-no-15-standards-for-maintaining-collecting-and" TargetMode="External"/><Relationship Id="rId6" Type="http://schemas.openxmlformats.org/officeDocument/2006/relationships/hyperlink" Target="https://www.asccc.org/sites/default/files/COR_0.pdf" TargetMode="External"/><Relationship Id="rId23" Type="http://schemas.openxmlformats.org/officeDocument/2006/relationships/hyperlink" Target="https://govt.westlaw.com/calregs/Document/I604256434C6911EC93A8000D3A7C4BC3?viewType=FullText&amp;originationContext=documenttoc&amp;transitionType=CategoryPageItem&amp;contextData=(sc.Default)" TargetMode="External"/><Relationship Id="rId28" Type="http://schemas.openxmlformats.org/officeDocument/2006/relationships/hyperlink" Target="https://www.asccc.org/transfer-alignment-project" TargetMode="External"/><Relationship Id="rId49" Type="http://schemas.openxmlformats.org/officeDocument/2006/relationships/hyperlink" Target="https://doi.org/10.1080/10668920903385855" TargetMode="External"/><Relationship Id="rId114" Type="http://schemas.openxmlformats.org/officeDocument/2006/relationships/hyperlink" Target="https://leginfo.legislature.ca.gov/faces/billNavClient.xhtml?bill_id=202320240AB2586" TargetMode="External"/><Relationship Id="rId119" Type="http://schemas.openxmlformats.org/officeDocument/2006/relationships/hyperlink" Target="https://leginfo.legislature.ca.gov/faces/billTextClient.xhtml?bill_id=202120220AB927" TargetMode="External"/><Relationship Id="rId44" Type="http://schemas.openxmlformats.org/officeDocument/2006/relationships/hyperlink" Target="https://icas-ca.org/wp-content/uploads/2024/01/Cal-GETC_Standards_1v1_2023.pdf" TargetMode="External"/><Relationship Id="rId60" Type="http://schemas.openxmlformats.org/officeDocument/2006/relationships/hyperlink" Target="https://govt.westlaw.com/calregs/Document/I604256434C6911EC93A8000D3A7C4BC3?viewType=FullText&amp;originationContext=documenttoc&amp;transitionType=CategoryPageItem&amp;contextData=(sc.Default)" TargetMode="External"/><Relationship Id="rId65" Type="http://schemas.openxmlformats.org/officeDocument/2006/relationships/hyperlink" Target="https://asccc.org/resolutions/review-credit-prior-learning-regulations" TargetMode="External"/><Relationship Id="rId81" Type="http://schemas.openxmlformats.org/officeDocument/2006/relationships/hyperlink" Target="https://www.asccc.org/resolutions/create-paper-part-time-faculty-equity" TargetMode="External"/><Relationship Id="rId86" Type="http://schemas.openxmlformats.org/officeDocument/2006/relationships/hyperlink" Target="https://www.isa-sociology.org/en/about-isa/isa-human-rights-committee/statement-on-the-situation-in-israel-and-palestine" TargetMode="External"/><Relationship Id="rId130" Type="http://schemas.openxmlformats.org/officeDocument/2006/relationships/hyperlink" Target="https://asccc.org/resolutions/csu-transfers" TargetMode="External"/><Relationship Id="rId135" Type="http://schemas.openxmlformats.org/officeDocument/2006/relationships/hyperlink" Target="https://asccc.org/resolutions/legislative-and-systemic-support-academic-freedom" TargetMode="External"/><Relationship Id="rId151" Type="http://schemas.openxmlformats.org/officeDocument/2006/relationships/hyperlink" Target="https://www.asccc.org/resolutions/opposition-elimination-non-cdcp-noncredit-classes" TargetMode="External"/><Relationship Id="rId156" Type="http://schemas.openxmlformats.org/officeDocument/2006/relationships/hyperlink" Target="https://admission.universityofcalifornia.edu/admission-requirements/freshman-requirements/subject-requirement-a-g.html" TargetMode="External"/><Relationship Id="rId177" Type="http://schemas.openxmlformats.org/officeDocument/2006/relationships/hyperlink" Target="https://www.aclu.org/press-releases/aclu-open-letter-to-colleges-and-universities-reject-efforts-to-restrict-constitutionally-protected-speech-on-campuses" TargetMode="External"/><Relationship Id="rId172" Type="http://schemas.openxmlformats.org/officeDocument/2006/relationships/hyperlink" Target="https://www.nplusonemag.com/online-only/online-only/a-dangerous-conflation/?affid=x" TargetMode="External"/><Relationship Id="rId13" Type="http://schemas.openxmlformats.org/officeDocument/2006/relationships/hyperlink" Target="https://asccc.org/resolutions/adopt-academic-senate-california-community-colleges-mission-vision-and-values" TargetMode="External"/><Relationship Id="rId18" Type="http://schemas.openxmlformats.org/officeDocument/2006/relationships/hyperlink" Target="https://asccc.org/resolutions/adopt-dei-curriculum-model-principles-and-practices-framework" TargetMode="External"/><Relationship Id="rId39" Type="http://schemas.openxmlformats.org/officeDocument/2006/relationships/hyperlink" Target="https://c-id.net/cms-uploads/cms/Chemistry_TMC_FINAL_Revised_May_5_2014.pdf" TargetMode="External"/><Relationship Id="rId109" Type="http://schemas.openxmlformats.org/officeDocument/2006/relationships/hyperlink" Target="https://asccc.org/resolutions/uc-catalog-rights-nonurgent-spring-1999" TargetMode="External"/><Relationship Id="rId34" Type="http://schemas.openxmlformats.org/officeDocument/2006/relationships/hyperlink" Target="https://www.asccc.org/resolutions/aligning-transfer-pathways-california-state-university-and-university-california-systems" TargetMode="External"/><Relationship Id="rId50" Type="http://schemas.openxmlformats.org/officeDocument/2006/relationships/hyperlink" Target="https://doi.org/10.18260/1-2--19993" TargetMode="External"/><Relationship Id="rId55" Type="http://schemas.openxmlformats.org/officeDocument/2006/relationships/hyperlink" Target="https://assist.org/" TargetMode="External"/><Relationship Id="rId76" Type="http://schemas.openxmlformats.org/officeDocument/2006/relationships/hyperlink" Target="https://govt.westlaw.com/calregs/Document/I252271C0698311ED9432FA58BC52C333?viewType=FullText&amp;originationContext=documenttoc&amp;transitionType=CategoryPageItem&amp;contextData=(sc.Default)" TargetMode="External"/><Relationship Id="rId97" Type="http://schemas.openxmlformats.org/officeDocument/2006/relationships/hyperlink" Target="https://leginfo.legislature.ca.gov/faces/billNavClient.xhtml?bill_id=202320240ACR147" TargetMode="External"/><Relationship Id="rId104" Type="http://schemas.openxmlformats.org/officeDocument/2006/relationships/hyperlink" Target="https://www.uscis.gov/humanitarian/consideration-of-deferred-action-for-childhood-arrivals-daca/daca-litigation-information-and-frequently-asked-questions" TargetMode="External"/><Relationship Id="rId120" Type="http://schemas.openxmlformats.org/officeDocument/2006/relationships/hyperlink" Target="https://leginfo.legislature.ca.gov/faces/billTextClient.xhtml?bill_id=202320240AB2093" TargetMode="External"/><Relationship Id="rId125" Type="http://schemas.openxmlformats.org/officeDocument/2006/relationships/hyperlink" Target="https://www.cccco.edu/-/media/CCCCO-Website/docs/report/Vision-2030-A-Roadmap-for-California-Community-Colleges.pdf?la=en&amp;hash=3B83F5221C4A7A8BEFA7E94D5BCBF540D2718013" TargetMode="External"/><Relationship Id="rId141" Type="http://schemas.openxmlformats.org/officeDocument/2006/relationships/hyperlink" Target="https://americaschildrenact.com/static/media/America'sChildrenAct_One-Pager.d876041e00d2f2a1fa07.pdf" TargetMode="External"/><Relationship Id="rId146" Type="http://schemas.openxmlformats.org/officeDocument/2006/relationships/hyperlink" Target="https://lao.ca.gov/reports/2024/4853/CCC-022124.pdf" TargetMode="External"/><Relationship Id="rId167" Type="http://schemas.openxmlformats.org/officeDocument/2006/relationships/hyperlink" Target="https://www.cccco.edu/-/media/CCCCO-Website/docs/memo/ESLEI-2415-AB-1705-Validation-of-Equitable-Placement-Support-and-Completion-Practices-for-STEM-Progr.pdf?la=en&amp;hash=60D9524BAD2695B8D34252BFFDA8CF8F4805F197" TargetMode="External"/><Relationship Id="rId7" Type="http://schemas.openxmlformats.org/officeDocument/2006/relationships/hyperlink" Target="https://www.asccc.org/sites/default/files/Work_Based_Learning.pdf" TargetMode="External"/><Relationship Id="rId71" Type="http://schemas.openxmlformats.org/officeDocument/2006/relationships/hyperlink" Target="https://www.ecfr.gov/current/title-34/subtitle-B/chapter-VI/part-608" TargetMode="External"/><Relationship Id="rId92" Type="http://schemas.openxmlformats.org/officeDocument/2006/relationships/hyperlink" Target="https://www.rn.ca.gov/pdfs/education/prelicensure21-22.pdf" TargetMode="External"/><Relationship Id="rId162" Type="http://schemas.openxmlformats.org/officeDocument/2006/relationships/hyperlink" Target="https://leginfo.legislature.ca.gov/faces/billNavClient.xhtml?bill_id=202120220AB1705" TargetMode="External"/><Relationship Id="rId2" Type="http://schemas.openxmlformats.org/officeDocument/2006/relationships/hyperlink" Target="https://govt.westlaw.com/calregs/Document/I5F7D7FA34C6911EC93A8000D3A7C4BC3?viewType=FullText&amp;originationContext=documenttoc&amp;transitionType=CategoryPageItem&amp;contextData=(sc.Default)" TargetMode="External"/><Relationship Id="rId29" Type="http://schemas.openxmlformats.org/officeDocument/2006/relationships/hyperlink" Target="https://www.asccc.org/resolutions/aligning-transfer-pathways-california-state-university-and-university-california-systems" TargetMode="External"/><Relationship Id="rId24" Type="http://schemas.openxmlformats.org/officeDocument/2006/relationships/hyperlink" Target="https://asccc.org/sites/default/files/CCC_DEI-in-Curriculum_Model_Principles_and_Practices_June_2022.pdf" TargetMode="External"/><Relationship Id="rId40" Type="http://schemas.openxmlformats.org/officeDocument/2006/relationships/hyperlink" Target="https://c-id.net/cms-uploads/cms/ENVS_TMC_FINAL.doc" TargetMode="External"/><Relationship Id="rId45" Type="http://schemas.openxmlformats.org/officeDocument/2006/relationships/hyperlink" Target="https://leginfo.legislature.ca.gov/faces/billTextClient.xhtml?bill_id=202120220AB928" TargetMode="External"/><Relationship Id="rId66" Type="http://schemas.openxmlformats.org/officeDocument/2006/relationships/hyperlink" Target="https://asccc.org/resolutions/awarding-credit-prior-learning-experience" TargetMode="External"/><Relationship Id="rId87" Type="http://schemas.openxmlformats.org/officeDocument/2006/relationships/hyperlink" Target="https://www.aft.org/resolution/calling-bilateral-cease-fire-gaza-and-promoting-two-state-solution-and-end-weaponization" TargetMode="External"/><Relationship Id="rId110" Type="http://schemas.openxmlformats.org/officeDocument/2006/relationships/hyperlink" Target="https://asccc.org/resolutions/csu-transfers" TargetMode="External"/><Relationship Id="rId115" Type="http://schemas.openxmlformats.org/officeDocument/2006/relationships/hyperlink" Target="https://asccc.org/sites/default/files/publications/StudentFeesOpenAccess_0.pdf" TargetMode="External"/><Relationship Id="rId131" Type="http://schemas.openxmlformats.org/officeDocument/2006/relationships/hyperlink" Target="https://asccc.org/resolutions/protecting-transfer-students" TargetMode="External"/><Relationship Id="rId136" Type="http://schemas.openxmlformats.org/officeDocument/2006/relationships/hyperlink" Target="https://asccc.org/resolutions/conflict-interest" TargetMode="External"/><Relationship Id="rId157" Type="http://schemas.openxmlformats.org/officeDocument/2006/relationships/hyperlink" Target="https://www.cccco.edu/-/media/CCCCO-Website/docs/report/Vision-2030-A-Roadmap-for-California-Community-Colleges.pdf?la=en&amp;hash=3B83F5221C4A7A8BEFA7E94D5BCBF540D2718013" TargetMode="External"/><Relationship Id="rId178" Type="http://schemas.openxmlformats.org/officeDocument/2006/relationships/hyperlink" Target="https://www.insidehighered.com/news/faculty-issues/academic-freedom/2024/01/08/mla-delegates-pass-motion-defending-pro-palestine" TargetMode="External"/><Relationship Id="rId61" Type="http://schemas.openxmlformats.org/officeDocument/2006/relationships/hyperlink" Target="https://www.cccco.edu/-/media/CCCCO-Website/docs/procedures-standing-orders/december-2022-procedures-standing-ordersv2-a11y.pdf?la=en&amp;hash=FF692A0AE8ACC8FE6BB2A4D75018302005A8A4D6" TargetMode="External"/><Relationship Id="rId82" Type="http://schemas.openxmlformats.org/officeDocument/2006/relationships/hyperlink" Target="https://asccc.org/sites/default/files/2024-03/Part-time%20Faculty%20Equity%2C%20Rights%2C%20and%20Roles%20in%20Governance%20%20ca.docx" TargetMode="External"/><Relationship Id="rId152" Type="http://schemas.openxmlformats.org/officeDocument/2006/relationships/hyperlink" Target="https://www.gov.ca.gov/wp-content/uploads/2019/06/6.10.19-Master-Plan-for-Aging-EO.pdf" TargetMode="External"/><Relationship Id="rId173" Type="http://schemas.openxmlformats.org/officeDocument/2006/relationships/hyperlink" Target="https://www.thenation.com/article/world/antisemitism-palestine-israel-gaza/" TargetMode="External"/><Relationship Id="rId19" Type="http://schemas.openxmlformats.org/officeDocument/2006/relationships/hyperlink" Target="https://asccc.org/resolutions/cultural-humility-driving-inclusion-diversity-equity-anti-racism-and-accessibility" TargetMode="External"/><Relationship Id="rId14" Type="http://schemas.openxmlformats.org/officeDocument/2006/relationships/hyperlink" Target="https://asccc.org/resolutions/advancing-ideaa-guided-pathways" TargetMode="External"/><Relationship Id="rId30" Type="http://schemas.openxmlformats.org/officeDocument/2006/relationships/hyperlink" Target="https://leginfo.legislature.ca.gov/faces/billTextClient.xhtml?bill_id=202120220AB928" TargetMode="External"/><Relationship Id="rId35" Type="http://schemas.openxmlformats.org/officeDocument/2006/relationships/hyperlink" Target="https://leginfo.legislature.ca.gov/faces/billTextClient.xhtml?bill_id=202120220AB928" TargetMode="External"/><Relationship Id="rId56" Type="http://schemas.openxmlformats.org/officeDocument/2006/relationships/hyperlink" Target="https://admission.universityofcalifornia.edu/admission-requirements/transfer-requirements/preparing-to-transfer/basic-requirements.html" TargetMode="External"/><Relationship Id="rId77" Type="http://schemas.openxmlformats.org/officeDocument/2006/relationships/hyperlink" Target="https://govt.westlaw.com/calregs/Document/IE27A796056B511ED9336FE00FB183132?viewType=FullText&amp;originationContext=documenttoc&amp;transitionType=CategoryPageItem&amp;contextData=(sc.Default)" TargetMode="External"/><Relationship Id="rId100" Type="http://schemas.openxmlformats.org/officeDocument/2006/relationships/hyperlink" Target="https://asccc.org/resolutions/support-students-deferred-action-childhood-arrivals-daca-status-0" TargetMode="External"/><Relationship Id="rId105" Type="http://schemas.openxmlformats.org/officeDocument/2006/relationships/hyperlink" Target="https://www.justice.gov/crt/reminders-daca-recipients-and-employers" TargetMode="External"/><Relationship Id="rId126" Type="http://schemas.openxmlformats.org/officeDocument/2006/relationships/hyperlink" Target="https://leginfo.legislature.ca.gov/faces/billNavClient.xhtml?bill_id=202320240AB2407" TargetMode="External"/><Relationship Id="rId147" Type="http://schemas.openxmlformats.org/officeDocument/2006/relationships/hyperlink" Target="https://leginfo.legislature.ca.gov/faces/codes_displaySection.xhtml?sectionNum=84757&amp;lawCode=EDC" TargetMode="External"/><Relationship Id="rId168" Type="http://schemas.openxmlformats.org/officeDocument/2006/relationships/hyperlink" Target="https://www.cccco.edu/-/media/CCCCO-Website/docs/memo/ESLEI-2415-AB-1705-Validation-of-Equitable-Placement-Support-and-Completion-Practices-for-STEM-Progr.pdf" TargetMode="External"/><Relationship Id="rId8" Type="http://schemas.openxmlformats.org/officeDocument/2006/relationships/hyperlink" Target="https://www.cccco.edu/-/media/CCCCO-Website/Office-of-General-Counsel/bgcccfinalworkexperiencetext20230726ffa11y.pdf?la=en&amp;hash=605C58D56AC13E78C7A3335D4FC7C9CF5FE29C8C" TargetMode="External"/><Relationship Id="rId51" Type="http://schemas.openxmlformats.org/officeDocument/2006/relationships/hyperlink" Target="https://doi.org/10.18260/1-2--18945" TargetMode="External"/><Relationship Id="rId72" Type="http://schemas.openxmlformats.org/officeDocument/2006/relationships/hyperlink" Target="https://govt.westlaw.com/calregs/Document/I604256434C6911EC93A8000D3A7C4BC3?viewType=FullText&amp;originationContext=documenttoc&amp;transitionType=CategoryPageItem&amp;contextData=(sc.Default)" TargetMode="External"/><Relationship Id="rId93" Type="http://schemas.openxmlformats.org/officeDocument/2006/relationships/hyperlink" Target="https://asccc.org/resolutions/expansion-baccalaureate-degree-programs-allied-health" TargetMode="External"/><Relationship Id="rId98" Type="http://schemas.openxmlformats.org/officeDocument/2006/relationships/hyperlink" Target="https://asccc.org/resolutions/supporting-dream-resource-liaisons" TargetMode="External"/><Relationship Id="rId121" Type="http://schemas.openxmlformats.org/officeDocument/2006/relationships/hyperlink" Target="https://leginfo.legislature.ca.gov/faces/billNavClient.xhtml?bill_id=202320240AB2093" TargetMode="External"/><Relationship Id="rId142" Type="http://schemas.openxmlformats.org/officeDocument/2006/relationships/hyperlink" Target="https://www.congress.gov/bill/118th-congress/house-bill/3442/text?s=1&amp;r=63" TargetMode="External"/><Relationship Id="rId163" Type="http://schemas.openxmlformats.org/officeDocument/2006/relationships/hyperlink" Target="https://leginfo.legislature.ca.gov/faces/billNavClient.xhtml?bill_id=202120220AB1705" TargetMode="External"/><Relationship Id="rId3" Type="http://schemas.openxmlformats.org/officeDocument/2006/relationships/hyperlink" Target="https://govt.westlaw.com/calregs/Document/I5F7FF0A34C6911EC93A8000D3A7C4BC3?viewType=FullText&amp;originationContext=documenttoc&amp;transitionType=CategoryPageItem&amp;contextData=(sc.Default)" TargetMode="External"/><Relationship Id="rId25" Type="http://schemas.openxmlformats.org/officeDocument/2006/relationships/hyperlink" Target="https://deanza.instructure.com/courses/34140" TargetMode="External"/><Relationship Id="rId46" Type="http://schemas.openxmlformats.org/officeDocument/2006/relationships/hyperlink" Target="https://leginfo.legislature.ca.gov/faces/billTextClient.xhtml?bill_id=202120220AB928" TargetMode="External"/><Relationship Id="rId67" Type="http://schemas.openxmlformats.org/officeDocument/2006/relationships/hyperlink" Target="https://asccc.org/resolutions/academic-credit-veterans-and-military-service-members" TargetMode="External"/><Relationship Id="rId116" Type="http://schemas.openxmlformats.org/officeDocument/2006/relationships/hyperlink" Target="https://asccc.org/resolutions/community-college-fees" TargetMode="External"/><Relationship Id="rId137" Type="http://schemas.openxmlformats.org/officeDocument/2006/relationships/hyperlink" Target="https://asccc.org/resolutions/50-audit-all-districts" TargetMode="External"/><Relationship Id="rId158" Type="http://schemas.openxmlformats.org/officeDocument/2006/relationships/hyperlink" Target="https://cvc.edu/about-the-oei/" TargetMode="External"/><Relationship Id="rId20" Type="http://schemas.openxmlformats.org/officeDocument/2006/relationships/hyperlink" Target="https://asccc.org/resolutions/establishing-local-inclusion-diversity-equity-and-anti-racism-idea-liaison" TargetMode="External"/><Relationship Id="rId41" Type="http://schemas.openxmlformats.org/officeDocument/2006/relationships/hyperlink" Target="https://admission.universityofcalifornia.edu/counselors/preparing-transfer-students/general-education-and-igetc.html" TargetMode="External"/><Relationship Id="rId62" Type="http://schemas.openxmlformats.org/officeDocument/2006/relationships/hyperlink" Target="https://map.rccd.edu/about/" TargetMode="External"/><Relationship Id="rId83" Type="http://schemas.openxmlformats.org/officeDocument/2006/relationships/hyperlink" Target="https://www.asccc.org/" TargetMode="External"/><Relationship Id="rId88" Type="http://schemas.openxmlformats.org/officeDocument/2006/relationships/hyperlink" Target="https://www.reuters.com/world/us/us-professors-suspended-probed-over-gaza-war-comments-2023-11-17/" TargetMode="External"/><Relationship Id="rId111" Type="http://schemas.openxmlformats.org/officeDocument/2006/relationships/hyperlink" Target="https://asccc.org/resolutions/protecting-transfer-students" TargetMode="External"/><Relationship Id="rId132" Type="http://schemas.openxmlformats.org/officeDocument/2006/relationships/hyperlink" Target="https://asccc.org/resolutions/information-about-transferring-students" TargetMode="External"/><Relationship Id="rId153" Type="http://schemas.openxmlformats.org/officeDocument/2006/relationships/hyperlink" Target="https://mpa.aging.ca.gov/" TargetMode="External"/><Relationship Id="rId174" Type="http://schemas.openxmlformats.org/officeDocument/2006/relationships/hyperlink" Target="https://www.jewishvoiceforpeace.org/2023/11/09/antisemitism-dangerous/" TargetMode="External"/><Relationship Id="rId179" Type="http://schemas.openxmlformats.org/officeDocument/2006/relationships/hyperlink" Target="https://www.insidehighered.com/news/students/free-speech/2024/04/15/punishments-rise-student-protests-escalate" TargetMode="External"/><Relationship Id="rId15" Type="http://schemas.openxmlformats.org/officeDocument/2006/relationships/hyperlink" Target="https://asccc.org/resolutions/incorporating-inclusion-diversity-equity-anti-racism-and-accessibility-ideaa-principles" TargetMode="External"/><Relationship Id="rId36" Type="http://schemas.openxmlformats.org/officeDocument/2006/relationships/hyperlink" Target="https://icas-ca.org/wp-content/uploads/2024/01/Cal-GETC_Standards_1v1_2023.pdf" TargetMode="External"/><Relationship Id="rId57" Type="http://schemas.openxmlformats.org/officeDocument/2006/relationships/hyperlink" Target="https://www.cccco.edu/-/media/CCCCO-Website/docs/memo/ESLEI-2415-AB-1705-Validation-of-Equitable-Placement-Support-and-Completion-Practices-for-STEM-Progr.pdf?la=en&amp;hash=60D9524BAD2695B8D34252BFFDA8CF8F4805F197" TargetMode="External"/><Relationship Id="rId106" Type="http://schemas.openxmlformats.org/officeDocument/2006/relationships/hyperlink" Target="https://leginfo.legislature.ca.gov/faces/billNavClient.xhtml?bill_id=202320240AB2586" TargetMode="External"/><Relationship Id="rId127" Type="http://schemas.openxmlformats.org/officeDocument/2006/relationships/hyperlink" Target="https://asccc.org/resolutions/prioritizing-prevention-sexual-harassment-and-discrimination-california-community" TargetMode="External"/><Relationship Id="rId10" Type="http://schemas.openxmlformats.org/officeDocument/2006/relationships/hyperlink" Target="https://leginfo.legislature.ca.gov/faces/codes_displaySection.xhtml?sectionNum=66010.2&amp;lawCode=EDC" TargetMode="External"/><Relationship Id="rId31" Type="http://schemas.openxmlformats.org/officeDocument/2006/relationships/hyperlink" Target="https://icas-ca.org/wp-content/uploads/2024/01/Cal-GETC_Standards_1v1_2023.pdf" TargetMode="External"/><Relationship Id="rId52" Type="http://schemas.openxmlformats.org/officeDocument/2006/relationships/hyperlink" Target="https://www.cccco.edu/-/media/CCCCO-Website/Reports/CCCCO_Report_Program_Course_Approval-web-102819.pdf?la=en&amp;hash=06918DD585E9F8C0805334FEA3EB1E6872C22F16" TargetMode="External"/><Relationship Id="rId73" Type="http://schemas.openxmlformats.org/officeDocument/2006/relationships/hyperlink" Target="https://govt.westlaw.com/calregs/Document/ID916E8E056B511ED9336FE00FB183132?viewType=FullText&amp;originationContext=documenttoc&amp;transitionType=CategoryPageItem&amp;contextData=(sc.Default)" TargetMode="External"/><Relationship Id="rId78" Type="http://schemas.openxmlformats.org/officeDocument/2006/relationships/hyperlink" Target="https://govt.westlaw.com/calregs/Document/IE6ECC7A056B511ED8118D68F0A50B737?viewType=FullText&amp;originationContext=documenttoc&amp;transitionType=CategoryPageItem&amp;contextData=(sc.Default)" TargetMode="External"/><Relationship Id="rId94" Type="http://schemas.openxmlformats.org/officeDocument/2006/relationships/hyperlink" Target="https://leginfo.legislature.ca.gov/faces/billNavClient.xhtml?bill_id=202320240SB895" TargetMode="External"/><Relationship Id="rId99" Type="http://schemas.openxmlformats.org/officeDocument/2006/relationships/hyperlink" Target="https://asccc.org/resolutions/support-marginalized-students-0" TargetMode="External"/><Relationship Id="rId101" Type="http://schemas.openxmlformats.org/officeDocument/2006/relationships/hyperlink" Target="https://www.calstate.edu/csu-system/faculty-staff/academic-senate/resolutions/2017-2018/3303.pdf" TargetMode="External"/><Relationship Id="rId122" Type="http://schemas.openxmlformats.org/officeDocument/2006/relationships/hyperlink" Target="https://www.auditor.ca.gov/reports/2022-109/index.html" TargetMode="External"/><Relationship Id="rId143" Type="http://schemas.openxmlformats.org/officeDocument/2006/relationships/hyperlink" Target="https://www.diverseeducation.com/institutions/msis/article/15291994/the-struggle-for-dual-identity-msi-grant-restrictions-and-the-aapi-community" TargetMode="External"/><Relationship Id="rId148" Type="http://schemas.openxmlformats.org/officeDocument/2006/relationships/hyperlink" Target="https://www.asccc.org/resolutions/non-credit-faculty" TargetMode="External"/><Relationship Id="rId164" Type="http://schemas.openxmlformats.org/officeDocument/2006/relationships/hyperlink" Target="https://leginfo.legislature.ca.gov/faces/billNavClient.xhtml?bill_id=202120220AB1705" TargetMode="External"/><Relationship Id="rId169" Type="http://schemas.openxmlformats.org/officeDocument/2006/relationships/hyperlink" Target="https://www.cccco.edu/-/media/CCCCO-Website/Files/Educational-Services-and-Support/ab-1705-implementation-guide-3-14-23-a11y.pdf" TargetMode="External"/><Relationship Id="rId4" Type="http://schemas.openxmlformats.org/officeDocument/2006/relationships/hyperlink" Target="https://www.asccc.org/resolutions/adding-culturally-responsive-curriculum-equity-mindedness-and-anti-racism-course-outline" TargetMode="External"/><Relationship Id="rId9" Type="http://schemas.openxmlformats.org/officeDocument/2006/relationships/hyperlink" Target="https://www.asccc.org/sites/default/files/Work_Based_Learning.pdf" TargetMode="External"/><Relationship Id="rId180" Type="http://schemas.openxmlformats.org/officeDocument/2006/relationships/hyperlink" Target="https://leginfo.legislature.ca.gov/faces/billNavClient.xhtml?bill_id=202320240SB1287" TargetMode="External"/><Relationship Id="rId26" Type="http://schemas.openxmlformats.org/officeDocument/2006/relationships/hyperlink" Target="https://www.cccco.edu/-/media/CCCCO-Website/docs/memo/Cal-GETC-Administrative-Implementation-Guidance.pdf?la=en&amp;hash=DF2FD3E05C058C35ACF2A7B950B2505C4C5E791D" TargetMode="External"/><Relationship Id="rId47" Type="http://schemas.openxmlformats.org/officeDocument/2006/relationships/hyperlink" Target="https://static1.squarespace.com/static/63294b64e0e6c61627d6b28e/t/6583146d9c96e46d9d50bc01/1703089263187/ab-928-final-report-december-2023-with-cover-letter.pdf" TargetMode="External"/><Relationship Id="rId68" Type="http://schemas.openxmlformats.org/officeDocument/2006/relationships/hyperlink" Target="https://www.insidehighered.com/news/institutions/community-colleges/2023/07/07/online-learning-still-high-demand-community" TargetMode="External"/><Relationship Id="rId89" Type="http://schemas.openxmlformats.org/officeDocument/2006/relationships/hyperlink" Target="https://www.aaup.org/news/academic-freedom-times-war" TargetMode="External"/><Relationship Id="rId112" Type="http://schemas.openxmlformats.org/officeDocument/2006/relationships/hyperlink" Target="https://asccc.org/resolutions/information-about-transferring-students" TargetMode="External"/><Relationship Id="rId133" Type="http://schemas.openxmlformats.org/officeDocument/2006/relationships/hyperlink" Target="https://asccc.org/resolutions/re-evaluate-csu-service-areas" TargetMode="External"/><Relationship Id="rId154" Type="http://schemas.openxmlformats.org/officeDocument/2006/relationships/hyperlink" Target="https://www.calstate.edu/apply/freshman/getting_into_the_csu/pages/admission-requirements.aspx" TargetMode="External"/><Relationship Id="rId175" Type="http://schemas.openxmlformats.org/officeDocument/2006/relationships/hyperlink" Target="https://jerusalemdeclaration.org/" TargetMode="External"/><Relationship Id="rId16" Type="http://schemas.openxmlformats.org/officeDocument/2006/relationships/hyperlink" Target="https://asccc.org/resolutions/adding-anti-racism-academic-senate-california-community-colleges-vision-statement" TargetMode="External"/><Relationship Id="rId37" Type="http://schemas.openxmlformats.org/officeDocument/2006/relationships/hyperlink" Target="https://c-id.net/tmc" TargetMode="External"/><Relationship Id="rId58" Type="http://schemas.openxmlformats.org/officeDocument/2006/relationships/hyperlink" Target="https://www.cccco.edu/-/media/CCCCO-Website/docs/memo/ESLEI-2415-AB-1705-Validation-of-Equitable-Placement-Support-and-Completion-Practices-for-STEM-Progr.pdf?la=en&amp;hash=60D9524BAD2695B8D34252BFFDA8CF8F4805F197" TargetMode="External"/><Relationship Id="rId79" Type="http://schemas.openxmlformats.org/officeDocument/2006/relationships/hyperlink" Target="https://www.asccc.org/10_1" TargetMode="External"/><Relationship Id="rId102" Type="http://schemas.openxmlformats.org/officeDocument/2006/relationships/hyperlink" Target="https://senate.universityofcalifornia.edu/_files/reports/SW-JN-aspirational-statement-support-for-undocumented-students.pdf" TargetMode="External"/><Relationship Id="rId123" Type="http://schemas.openxmlformats.org/officeDocument/2006/relationships/hyperlink" Target="https://go.boarddocs.com/ca/laccd/Board.nsf/files/CXZD6W344620/$file/Inside%20a%20Los%20Angeles%20professor's%20long%20sexual%20harassment%20fight%20-%20Los%20Angeles%20Times%20(2).pdf" TargetMode="External"/><Relationship Id="rId144" Type="http://schemas.openxmlformats.org/officeDocument/2006/relationships/hyperlink" Target="https://www.insidehighered.com/news/diversity/race-ethnicity/2023/10/06/federal-grant-proves-elusive-certain-colleges" TargetMode="External"/><Relationship Id="rId90" Type="http://schemas.openxmlformats.org/officeDocument/2006/relationships/hyperlink" Target="https://www.rn.ca.gov/pdfs/forms/forecast2022.pdf" TargetMode="External"/><Relationship Id="rId165" Type="http://schemas.openxmlformats.org/officeDocument/2006/relationships/hyperlink" Target="https://www.cccco.edu/-/media/CCCCO-Website/docs/memo/ESLEI-2415-AB-1705-Validation-of-Equitable-Placement-Support-and-Completion-Practices-for-STEM-Progr.pdf?la=en&amp;hash=60D9524BAD2695B8D34252BFFDA8CF8F4805F197" TargetMode="External"/><Relationship Id="rId27" Type="http://schemas.openxmlformats.org/officeDocument/2006/relationships/hyperlink" Target="https://icas-ca.org/wp-content/uploads/2024/01/Cal-GETC_Standards_1v1_2023.pdf" TargetMode="External"/><Relationship Id="rId48" Type="http://schemas.openxmlformats.org/officeDocument/2006/relationships/hyperlink" Target="https://doi.org/10.3102/0162373720962509" TargetMode="External"/><Relationship Id="rId69" Type="http://schemas.openxmlformats.org/officeDocument/2006/relationships/hyperlink" Target="https://www.ecfr.gov/current/title-34/subtitle-B/chapter-VI/part-600" TargetMode="External"/><Relationship Id="rId113" Type="http://schemas.openxmlformats.org/officeDocument/2006/relationships/hyperlink" Target="https://asccc.org/resolutions/re-evaluate-csu-service-areas" TargetMode="External"/><Relationship Id="rId134" Type="http://schemas.openxmlformats.org/officeDocument/2006/relationships/hyperlink" Target="https://asccc.org/resolutions/provisionally-supportsb-291-leyva-march-1-2019" TargetMode="External"/><Relationship Id="rId80" Type="http://schemas.openxmlformats.org/officeDocument/2006/relationships/hyperlink" Target="https://govt.westlaw.com/calregs/Document/I604256434C6911EC93A8000D3A7C4BC3?viewType=FullText&amp;originationContext=documenttoc&amp;transitionType=CategoryPageItem&amp;contextData=(sc.Default)" TargetMode="External"/><Relationship Id="rId155" Type="http://schemas.openxmlformats.org/officeDocument/2006/relationships/hyperlink" Target="https://admission.universityofcalifornia.edu/admission-requirements/freshman-requirements/" TargetMode="External"/><Relationship Id="rId176" Type="http://schemas.openxmlformats.org/officeDocument/2006/relationships/hyperlink" Target="https://leginfo.legislature.ca.gov/faces/billNavClient.xhtml?bill_id=202320240SB1287" TargetMode="External"/><Relationship Id="rId17" Type="http://schemas.openxmlformats.org/officeDocument/2006/relationships/hyperlink" Target="https://asccc.org/resolutions/develop-and-publish-inclusion-diversity-equity-anti-racism-and-accessibility-ideaa" TargetMode="External"/><Relationship Id="rId38" Type="http://schemas.openxmlformats.org/officeDocument/2006/relationships/hyperlink" Target="https://c-id.net/cms-uploads/cms/Biology_TMC_FINAL_October_17_2014_May_7_2015_Updated.doc" TargetMode="External"/><Relationship Id="rId59" Type="http://schemas.openxmlformats.org/officeDocument/2006/relationships/hyperlink" Target="https://www.cccco.edu/-/media/CCCCO-Website/docs/memo/ESLEI-2415-AB-1705-Validation-of-Equitable-Placement-Support-and-Completion-Practices-for-STEM-Progr.pdf?la=en&amp;hash=60D9524BAD2695B8D34252BFFDA8CF8F4805F197" TargetMode="External"/><Relationship Id="rId103" Type="http://schemas.openxmlformats.org/officeDocument/2006/relationships/hyperlink" Target="https://asccc.org/sites/default/files/ICAS%20DACA%20Support%20from%20Chancellors%20Letter.pdf" TargetMode="External"/><Relationship Id="rId124" Type="http://schemas.openxmlformats.org/officeDocument/2006/relationships/hyperlink" Target="https://ahed.assembly.ca.gov/system/files/2024-02/a-call-to-action-report-2024_0.pdf" TargetMode="External"/><Relationship Id="rId70" Type="http://schemas.openxmlformats.org/officeDocument/2006/relationships/hyperlink" Target="https://www.ecfr.gov/current/title-34/subtitle-B/chapter-VI/part-602" TargetMode="External"/><Relationship Id="rId91" Type="http://schemas.openxmlformats.org/officeDocument/2006/relationships/hyperlink" Target="https://www.aacnnursing.org/Portals/0/PDFs/Data/Research-Brief-10-23.pdf" TargetMode="External"/><Relationship Id="rId145" Type="http://schemas.openxmlformats.org/officeDocument/2006/relationships/hyperlink" Target="https://www.hirono.senate.gov/news/press-releases/hirono-cornyn-chu-and-royce-push-to-level-playing-field-for-minority-college-students" TargetMode="External"/><Relationship Id="rId166" Type="http://schemas.openxmlformats.org/officeDocument/2006/relationships/hyperlink" Target="https://leginfo.legislature.ca.gov/faces/billNavClient.xhtml?bill_id=202120220AB1705" TargetMode="External"/><Relationship Id="rId1" Type="http://schemas.openxmlformats.org/officeDocument/2006/relationships/hyperlink" Target="https://www.asccc.org/sites/default/files/COR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0906F-E263-4CCC-B7E9-98F30D71A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12987</Words>
  <Characters>74029</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Reese</dc:creator>
  <cp:keywords/>
  <dc:description/>
  <cp:lastModifiedBy>Krystinne Mica</cp:lastModifiedBy>
  <cp:revision>2</cp:revision>
  <cp:lastPrinted>2024-04-20T03:42:00Z</cp:lastPrinted>
  <dcterms:created xsi:type="dcterms:W3CDTF">2024-04-28T00:08:00Z</dcterms:created>
  <dcterms:modified xsi:type="dcterms:W3CDTF">2024-04-28T00:08:00Z</dcterms:modified>
</cp:coreProperties>
</file>